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6FF8" w14:textId="1933041F" w:rsidR="00152502" w:rsidRDefault="00152502" w:rsidP="00BA31A9">
      <w:pPr>
        <w:spacing w:after="0"/>
        <w:jc w:val="center"/>
      </w:pPr>
      <w:r>
        <w:rPr>
          <w:noProof/>
        </w:rPr>
        <w:drawing>
          <wp:inline distT="0" distB="0" distL="0" distR="0" wp14:anchorId="721E39DD" wp14:editId="39F16EAE">
            <wp:extent cx="2501900" cy="104596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7460" cy="1048286"/>
                    </a:xfrm>
                    <a:prstGeom prst="rect">
                      <a:avLst/>
                    </a:prstGeom>
                    <a:noFill/>
                    <a:ln>
                      <a:noFill/>
                    </a:ln>
                  </pic:spPr>
                </pic:pic>
              </a:graphicData>
            </a:graphic>
          </wp:inline>
        </w:drawing>
      </w:r>
    </w:p>
    <w:p w14:paraId="0E31C9B0" w14:textId="2B374EEC" w:rsidR="00401137" w:rsidRPr="00BA31A9" w:rsidRDefault="00BA31A9" w:rsidP="00152502">
      <w:pPr>
        <w:jc w:val="center"/>
        <w:rPr>
          <w:b/>
          <w:bCs/>
          <w:sz w:val="20"/>
          <w:szCs w:val="20"/>
        </w:rPr>
      </w:pPr>
      <w:r w:rsidRPr="00BA31A9">
        <w:rPr>
          <w:b/>
          <w:bCs/>
          <w:sz w:val="20"/>
          <w:szCs w:val="20"/>
        </w:rPr>
        <w:t>501 Kings Hwy E. Suite 210, Fairfield, CT 06825</w:t>
      </w:r>
    </w:p>
    <w:p w14:paraId="011BF982" w14:textId="7228966F" w:rsidR="00BA31A9" w:rsidRDefault="00BA6832" w:rsidP="00BA31A9">
      <w:pPr>
        <w:rPr>
          <w:b/>
          <w:bCs/>
          <w:sz w:val="24"/>
          <w:szCs w:val="24"/>
        </w:rPr>
      </w:pPr>
      <w:r>
        <w:rPr>
          <w:b/>
          <w:bCs/>
          <w:sz w:val="24"/>
          <w:szCs w:val="24"/>
        </w:rPr>
        <w:t>March 7</w:t>
      </w:r>
      <w:r w:rsidR="00BA31A9">
        <w:rPr>
          <w:b/>
          <w:bCs/>
          <w:sz w:val="24"/>
          <w:szCs w:val="24"/>
        </w:rPr>
        <w:t>, 2022</w:t>
      </w:r>
    </w:p>
    <w:p w14:paraId="7FE1508E" w14:textId="77777777" w:rsidR="00BA31A9" w:rsidRDefault="00BA31A9" w:rsidP="00BA31A9">
      <w:pPr>
        <w:rPr>
          <w:b/>
          <w:bCs/>
          <w:sz w:val="24"/>
          <w:szCs w:val="24"/>
        </w:rPr>
      </w:pPr>
    </w:p>
    <w:p w14:paraId="74235728" w14:textId="048BC547" w:rsidR="00B9561F" w:rsidRPr="00152502" w:rsidRDefault="00152502" w:rsidP="00152502">
      <w:pPr>
        <w:jc w:val="center"/>
        <w:rPr>
          <w:b/>
          <w:bCs/>
          <w:sz w:val="24"/>
          <w:szCs w:val="24"/>
        </w:rPr>
      </w:pPr>
      <w:r w:rsidRPr="00152502">
        <w:rPr>
          <w:b/>
          <w:bCs/>
          <w:sz w:val="24"/>
          <w:szCs w:val="24"/>
        </w:rPr>
        <w:t xml:space="preserve">The Fairfield CARES Community Coalition’s </w:t>
      </w:r>
      <w:r w:rsidR="00F13920" w:rsidRPr="00152502">
        <w:rPr>
          <w:b/>
          <w:bCs/>
          <w:sz w:val="24"/>
          <w:szCs w:val="24"/>
        </w:rPr>
        <w:t>Cannabis/</w:t>
      </w:r>
      <w:r w:rsidR="001C3113" w:rsidRPr="00152502">
        <w:rPr>
          <w:b/>
          <w:bCs/>
          <w:sz w:val="24"/>
          <w:szCs w:val="24"/>
        </w:rPr>
        <w:t>M</w:t>
      </w:r>
      <w:r w:rsidR="00582A2C" w:rsidRPr="00152502">
        <w:rPr>
          <w:b/>
          <w:bCs/>
          <w:sz w:val="24"/>
          <w:szCs w:val="24"/>
        </w:rPr>
        <w:t>arijuana Advocacy</w:t>
      </w:r>
      <w:r w:rsidR="00F4640B" w:rsidRPr="00152502">
        <w:rPr>
          <w:b/>
          <w:bCs/>
          <w:sz w:val="24"/>
          <w:szCs w:val="24"/>
        </w:rPr>
        <w:t xml:space="preserve"> </w:t>
      </w:r>
      <w:r w:rsidRPr="00152502">
        <w:rPr>
          <w:b/>
          <w:bCs/>
          <w:sz w:val="24"/>
          <w:szCs w:val="24"/>
        </w:rPr>
        <w:t>Position</w:t>
      </w:r>
    </w:p>
    <w:p w14:paraId="5F8BD109" w14:textId="0F7B58DB" w:rsidR="005C6238" w:rsidRPr="00152502" w:rsidRDefault="005C6238">
      <w:r w:rsidRPr="00152502">
        <w:t xml:space="preserve">Note: </w:t>
      </w:r>
      <w:r w:rsidR="00EF49D3" w:rsidRPr="00152502">
        <w:rPr>
          <w:i/>
          <w:iCs/>
        </w:rPr>
        <w:t>In the document, Fairfield CARES has used t</w:t>
      </w:r>
      <w:r w:rsidRPr="00152502">
        <w:rPr>
          <w:i/>
          <w:iCs/>
        </w:rPr>
        <w:t xml:space="preserve">he terms </w:t>
      </w:r>
      <w:r w:rsidR="00EF49D3" w:rsidRPr="00152502">
        <w:rPr>
          <w:i/>
          <w:iCs/>
        </w:rPr>
        <w:t>“</w:t>
      </w:r>
      <w:r w:rsidRPr="00152502">
        <w:rPr>
          <w:i/>
          <w:iCs/>
        </w:rPr>
        <w:t>cannabis</w:t>
      </w:r>
      <w:r w:rsidR="00EF49D3" w:rsidRPr="00152502">
        <w:rPr>
          <w:i/>
          <w:iCs/>
        </w:rPr>
        <w:t>”</w:t>
      </w:r>
      <w:r w:rsidRPr="00152502">
        <w:rPr>
          <w:i/>
          <w:iCs/>
        </w:rPr>
        <w:t xml:space="preserve"> and </w:t>
      </w:r>
      <w:r w:rsidR="00EF49D3" w:rsidRPr="00152502">
        <w:rPr>
          <w:i/>
          <w:iCs/>
        </w:rPr>
        <w:t>“</w:t>
      </w:r>
      <w:r w:rsidRPr="00152502">
        <w:rPr>
          <w:i/>
          <w:iCs/>
        </w:rPr>
        <w:t>marijuana</w:t>
      </w:r>
      <w:r w:rsidR="00EF49D3" w:rsidRPr="00152502">
        <w:rPr>
          <w:i/>
          <w:iCs/>
        </w:rPr>
        <w:t>”</w:t>
      </w:r>
      <w:r w:rsidRPr="00152502">
        <w:rPr>
          <w:i/>
          <w:iCs/>
        </w:rPr>
        <w:t xml:space="preserve"> interchangeably.  </w:t>
      </w:r>
      <w:r w:rsidR="00EF49D3" w:rsidRPr="00152502">
        <w:rPr>
          <w:i/>
          <w:iCs/>
        </w:rPr>
        <w:t>Whichever term is used by the referenced study or agency, then that term is continued throughout that section of the document.</w:t>
      </w:r>
      <w:r w:rsidR="00EF49D3" w:rsidRPr="00152502">
        <w:t xml:space="preserve">  </w:t>
      </w:r>
    </w:p>
    <w:p w14:paraId="0716FEFD" w14:textId="77777777" w:rsidR="00401137" w:rsidRDefault="00401137" w:rsidP="005A5998">
      <w:pPr>
        <w:spacing w:after="0"/>
        <w:rPr>
          <w:b/>
          <w:bCs/>
        </w:rPr>
      </w:pPr>
    </w:p>
    <w:p w14:paraId="153A32C6" w14:textId="05B18A65" w:rsidR="00872279" w:rsidRPr="00B67FA3" w:rsidRDefault="00CC745F" w:rsidP="005A5998">
      <w:pPr>
        <w:spacing w:after="0"/>
        <w:rPr>
          <w:b/>
          <w:bCs/>
        </w:rPr>
      </w:pPr>
      <w:r w:rsidRPr="00B67FA3">
        <w:rPr>
          <w:b/>
          <w:bCs/>
        </w:rPr>
        <w:t>Introduction:</w:t>
      </w:r>
    </w:p>
    <w:p w14:paraId="325779D8" w14:textId="735F6A1F" w:rsidR="00313ABE" w:rsidRDefault="00CC745F" w:rsidP="005A5998">
      <w:pPr>
        <w:spacing w:after="0"/>
      </w:pPr>
      <w:r>
        <w:t>Since 2009, the Fairfield CARES Community Coalition has been bringing community members together to prevent and reduce youth use of alcohol, tobacco, marijuana, and o</w:t>
      </w:r>
      <w:r w:rsidR="006358D8">
        <w:t>pioids</w:t>
      </w:r>
      <w:r>
        <w:t xml:space="preserve">. </w:t>
      </w:r>
      <w:r w:rsidR="00FD7875">
        <w:t xml:space="preserve"> </w:t>
      </w:r>
      <w:r w:rsidR="003215A2">
        <w:t>P</w:t>
      </w:r>
      <w:r w:rsidR="00313ABE">
        <w:t xml:space="preserve">leased with the progress made to reduce youth alcohol use, </w:t>
      </w:r>
      <w:r w:rsidR="00C84BC8">
        <w:t>the Fairfield Board of Selectmen</w:t>
      </w:r>
      <w:r w:rsidR="00313ABE">
        <w:t>, i</w:t>
      </w:r>
      <w:r>
        <w:t xml:space="preserve">n 2013, designated </w:t>
      </w:r>
      <w:r w:rsidR="00313ABE">
        <w:t xml:space="preserve">the </w:t>
      </w:r>
      <w:r>
        <w:t xml:space="preserve">Fairfield CARES </w:t>
      </w:r>
      <w:r w:rsidR="00313ABE">
        <w:t xml:space="preserve">Community Coalition </w:t>
      </w:r>
      <w:r>
        <w:t xml:space="preserve">as the town’s Local Prevention Council.  </w:t>
      </w:r>
    </w:p>
    <w:p w14:paraId="131B1E66" w14:textId="5E9A73CF" w:rsidR="00313ABE" w:rsidRDefault="00313ABE" w:rsidP="005140AF">
      <w:pPr>
        <w:pStyle w:val="ListParagraph"/>
        <w:spacing w:after="0"/>
      </w:pPr>
    </w:p>
    <w:p w14:paraId="6659B8B2" w14:textId="27132EE5" w:rsidR="00C84BC8" w:rsidRDefault="00C84BC8" w:rsidP="005A5998">
      <w:pPr>
        <w:spacing w:after="0"/>
      </w:pPr>
      <w:r>
        <w:t xml:space="preserve">Through the implementation of </w:t>
      </w:r>
      <w:r w:rsidR="00F531ED">
        <w:t xml:space="preserve">best practice </w:t>
      </w:r>
      <w:r>
        <w:t xml:space="preserve">strategies that has included educating parents, providing resources to Fairfield Public Schools, and </w:t>
      </w:r>
      <w:r w:rsidR="00F531ED">
        <w:t xml:space="preserve">working with our community partners to curb access and change </w:t>
      </w:r>
      <w:r w:rsidR="003F619C">
        <w:t>social norms, Fairfield CARES has successfully reduce</w:t>
      </w:r>
      <w:r w:rsidR="00B67FA3">
        <w:t>d</w:t>
      </w:r>
      <w:r w:rsidR="003F619C">
        <w:t xml:space="preserve"> youth substance use significantly. </w:t>
      </w:r>
    </w:p>
    <w:p w14:paraId="25FAC562" w14:textId="77777777" w:rsidR="00401137" w:rsidRPr="00B67FA3" w:rsidRDefault="00401137" w:rsidP="005A5998">
      <w:pPr>
        <w:spacing w:after="0"/>
        <w:rPr>
          <w:color w:val="FF0000"/>
        </w:rPr>
      </w:pPr>
    </w:p>
    <w:p w14:paraId="45212F0D" w14:textId="451B5DD8" w:rsidR="00266F5F" w:rsidRDefault="00D32340" w:rsidP="006C57A1">
      <w:pPr>
        <w:spacing w:after="0"/>
      </w:pPr>
      <w:r>
        <w:rPr>
          <w:noProof/>
        </w:rPr>
        <w:drawing>
          <wp:inline distT="0" distB="0" distL="0" distR="0" wp14:anchorId="45EBEFA0" wp14:editId="0754A3E5">
            <wp:extent cx="5486400" cy="3200400"/>
            <wp:effectExtent l="0" t="0" r="0" b="0"/>
            <wp:docPr id="11027068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1E0AD0" w14:textId="2C7A45F0" w:rsidR="00313ABE" w:rsidRPr="00B67FA3" w:rsidRDefault="00313ABE" w:rsidP="005A5998">
      <w:pPr>
        <w:spacing w:after="0"/>
        <w:rPr>
          <w:b/>
          <w:bCs/>
        </w:rPr>
      </w:pPr>
      <w:r w:rsidRPr="00B67FA3">
        <w:rPr>
          <w:b/>
          <w:bCs/>
        </w:rPr>
        <w:lastRenderedPageBreak/>
        <w:t>Position:</w:t>
      </w:r>
    </w:p>
    <w:p w14:paraId="77DC3C61" w14:textId="2E772691" w:rsidR="00266F5F" w:rsidRDefault="00266F5F" w:rsidP="005A5998">
      <w:pPr>
        <w:spacing w:after="0"/>
      </w:pPr>
      <w:r>
        <w:t xml:space="preserve">Fairfield CARES strongly </w:t>
      </w:r>
      <w:r w:rsidR="004E07EF">
        <w:t>believes that t</w:t>
      </w:r>
      <w:r w:rsidR="00ED0BA3">
        <w:t xml:space="preserve">he town of Fairfield should adopt ordinance language that prohibits the </w:t>
      </w:r>
      <w:r w:rsidR="00431A59">
        <w:t xml:space="preserve">retail </w:t>
      </w:r>
      <w:r w:rsidR="00ED0BA3">
        <w:t>sale, the advertisement,</w:t>
      </w:r>
      <w:r w:rsidR="00453873">
        <w:t xml:space="preserve"> the </w:t>
      </w:r>
      <w:r w:rsidR="007E0032">
        <w:t xml:space="preserve">cultivation, the </w:t>
      </w:r>
      <w:r w:rsidR="00453873">
        <w:t xml:space="preserve">processing and </w:t>
      </w:r>
      <w:r w:rsidR="00453873" w:rsidRPr="00822303">
        <w:t xml:space="preserve">wholesale </w:t>
      </w:r>
      <w:r w:rsidR="00453873">
        <w:t xml:space="preserve">distribution of </w:t>
      </w:r>
      <w:r w:rsidR="00822303">
        <w:t>cannabis</w:t>
      </w:r>
      <w:r w:rsidR="00453873">
        <w:t xml:space="preserve"> products</w:t>
      </w:r>
      <w:r w:rsidR="007E0032">
        <w:t>.  The town should strongly discourage</w:t>
      </w:r>
      <w:r w:rsidR="00706573">
        <w:t xml:space="preserve"> home grown </w:t>
      </w:r>
      <w:r w:rsidR="006832B6">
        <w:t>cannabis</w:t>
      </w:r>
      <w:r w:rsidR="007E0032">
        <w:t xml:space="preserve"> plants </w:t>
      </w:r>
      <w:r w:rsidR="00706573">
        <w:t>for both medicinal and</w:t>
      </w:r>
      <w:r w:rsidR="004E07EF">
        <w:t xml:space="preserve"> non-medical </w:t>
      </w:r>
      <w:r w:rsidR="007E0032">
        <w:t>purposes</w:t>
      </w:r>
      <w:r w:rsidR="004E07EF">
        <w:t>, where youth access is probable,</w:t>
      </w:r>
      <w:r w:rsidR="00ED0BA3">
        <w:t xml:space="preserve"> in order to</w:t>
      </w:r>
      <w:r w:rsidR="00453873">
        <w:t xml:space="preserve"> maintain a community environment that prioritizes positive youth development</w:t>
      </w:r>
      <w:r w:rsidR="004E07EF">
        <w:t>, and ensur</w:t>
      </w:r>
      <w:r w:rsidR="007E0032">
        <w:t>es</w:t>
      </w:r>
      <w:r w:rsidR="004E07EF">
        <w:t xml:space="preserve"> that </w:t>
      </w:r>
      <w:r w:rsidR="00706573">
        <w:t>all our youth thrive.</w:t>
      </w:r>
      <w:r w:rsidR="00453873">
        <w:t xml:space="preserve"> </w:t>
      </w:r>
    </w:p>
    <w:p w14:paraId="6EEFF653" w14:textId="06C9B7CE" w:rsidR="00313ABE" w:rsidRDefault="00313ABE" w:rsidP="005140AF">
      <w:pPr>
        <w:pStyle w:val="ListParagraph"/>
        <w:spacing w:after="0"/>
      </w:pPr>
    </w:p>
    <w:p w14:paraId="039D11D0" w14:textId="1271D902" w:rsidR="00313ABE" w:rsidRPr="00B67FA3" w:rsidRDefault="00313ABE" w:rsidP="005A5998">
      <w:pPr>
        <w:spacing w:after="0"/>
        <w:rPr>
          <w:b/>
          <w:bCs/>
        </w:rPr>
      </w:pPr>
      <w:r w:rsidRPr="00B67FA3">
        <w:rPr>
          <w:b/>
          <w:bCs/>
        </w:rPr>
        <w:t>Rationale</w:t>
      </w:r>
      <w:r w:rsidR="004E07EF" w:rsidRPr="00B67FA3">
        <w:rPr>
          <w:b/>
          <w:bCs/>
        </w:rPr>
        <w:t>:</w:t>
      </w:r>
    </w:p>
    <w:p w14:paraId="642590F6" w14:textId="01277D11" w:rsidR="00215BB2" w:rsidRDefault="00381AAB" w:rsidP="005A5998">
      <w:pPr>
        <w:spacing w:after="0"/>
      </w:pPr>
      <w:r>
        <w:t>According to the Substance Abuse &amp; Mental Health Services Admin</w:t>
      </w:r>
      <w:r w:rsidR="006F734D">
        <w:t>i</w:t>
      </w:r>
      <w:r>
        <w:t>stration (SAMHSA), US Dept of HHS, in those states that have legalized retail</w:t>
      </w:r>
      <w:r w:rsidR="00401137">
        <w:t xml:space="preserve"> </w:t>
      </w:r>
      <w:r>
        <w:t xml:space="preserve">marijuana for adult use, youth </w:t>
      </w:r>
      <w:r w:rsidR="00E95B8B">
        <w:t xml:space="preserve">use of marijuana </w:t>
      </w:r>
      <w:r w:rsidR="00545575">
        <w:t>is higher than in states where marijuana is not legalized.</w:t>
      </w:r>
      <w:r w:rsidR="00E95B8B">
        <w:t xml:space="preserve"> </w:t>
      </w:r>
      <w:r w:rsidR="00401137">
        <w:t xml:space="preserve"> </w:t>
      </w:r>
      <w:r w:rsidR="00E95B8B">
        <w:t>Findings from the 201</w:t>
      </w:r>
      <w:r w:rsidR="00260AA6">
        <w:t>9</w:t>
      </w:r>
      <w:r w:rsidR="00E95B8B">
        <w:t xml:space="preserve"> National Survey on Drug Use &amp; Health found that </w:t>
      </w:r>
      <w:r w:rsidR="00260AA6">
        <w:t xml:space="preserve">6.4% of </w:t>
      </w:r>
      <w:proofErr w:type="gramStart"/>
      <w:r w:rsidR="00260AA6">
        <w:t>12-17 year olds</w:t>
      </w:r>
      <w:proofErr w:type="gramEnd"/>
      <w:r w:rsidR="00260AA6">
        <w:t xml:space="preserve"> in “non-legalized states” used marijuana in the past month, </w:t>
      </w:r>
      <w:r w:rsidR="00E901FB">
        <w:t xml:space="preserve">compared to </w:t>
      </w:r>
      <w:r w:rsidR="00260AA6">
        <w:t>9.4%</w:t>
      </w:r>
      <w:r w:rsidR="00E901FB">
        <w:t xml:space="preserve"> </w:t>
      </w:r>
      <w:r w:rsidR="00260AA6">
        <w:t>in “legalized states”</w:t>
      </w:r>
      <w:r w:rsidR="00E901FB">
        <w:t xml:space="preserve">.  </w:t>
      </w:r>
      <w:r w:rsidR="006D573C">
        <w:t>Further</w:t>
      </w:r>
      <w:r w:rsidR="00E901FB">
        <w:t xml:space="preserve">, youth in “legalized” states report that </w:t>
      </w:r>
      <w:r w:rsidR="006F734D">
        <w:t xml:space="preserve">it is easy to get </w:t>
      </w:r>
      <w:proofErr w:type="gramStart"/>
      <w:r w:rsidR="006F734D">
        <w:t>marijuana.</w:t>
      </w:r>
      <w:r w:rsidR="00F56017">
        <w:t>(</w:t>
      </w:r>
      <w:proofErr w:type="gramEnd"/>
      <w:r w:rsidR="00F56017">
        <w:t>1)</w:t>
      </w:r>
      <w:r w:rsidR="006F734D">
        <w:t xml:space="preserve"> </w:t>
      </w:r>
    </w:p>
    <w:p w14:paraId="2E385E98" w14:textId="3809356D" w:rsidR="00215BB2" w:rsidRDefault="00215BB2" w:rsidP="005A5998">
      <w:pPr>
        <w:spacing w:after="0"/>
      </w:pPr>
    </w:p>
    <w:p w14:paraId="54537515" w14:textId="0EA021AC" w:rsidR="00F9366D" w:rsidRPr="00F9366D" w:rsidRDefault="00F9366D" w:rsidP="005A5998">
      <w:pPr>
        <w:spacing w:after="0"/>
        <w:rPr>
          <w:b/>
          <w:bCs/>
        </w:rPr>
      </w:pPr>
      <w:r w:rsidRPr="00F9366D">
        <w:rPr>
          <w:b/>
          <w:bCs/>
        </w:rPr>
        <w:t xml:space="preserve">Impact of </w:t>
      </w:r>
      <w:r w:rsidR="009B615B">
        <w:rPr>
          <w:b/>
          <w:bCs/>
        </w:rPr>
        <w:t xml:space="preserve">Marijuana </w:t>
      </w:r>
      <w:r w:rsidRPr="00F9366D">
        <w:rPr>
          <w:b/>
          <w:bCs/>
        </w:rPr>
        <w:t>Retail</w:t>
      </w:r>
      <w:r w:rsidR="009B615B">
        <w:rPr>
          <w:b/>
          <w:bCs/>
        </w:rPr>
        <w:t xml:space="preserve"> Location and Marketing</w:t>
      </w:r>
      <w:r w:rsidRPr="00F9366D">
        <w:rPr>
          <w:b/>
          <w:bCs/>
        </w:rPr>
        <w:t xml:space="preserve"> and Youth Marijuana Use:</w:t>
      </w:r>
    </w:p>
    <w:p w14:paraId="629016C4" w14:textId="333081EA" w:rsidR="00B77858" w:rsidRDefault="00E659A2" w:rsidP="005A5998">
      <w:pPr>
        <w:spacing w:after="0"/>
      </w:pPr>
      <w:r>
        <w:t xml:space="preserve">A 2017 study found that </w:t>
      </w:r>
      <w:r w:rsidR="007F453B">
        <w:t>a higher percentage of youth used marijuana if they lived in an area with higher de</w:t>
      </w:r>
      <w:r>
        <w:t xml:space="preserve">nsity of marijuana retail establishments </w:t>
      </w:r>
      <w:r w:rsidR="007F453B">
        <w:t xml:space="preserve">compared to those youth who lived in a lower density </w:t>
      </w:r>
      <w:proofErr w:type="gramStart"/>
      <w:r w:rsidR="007F453B">
        <w:t>area(</w:t>
      </w:r>
      <w:proofErr w:type="gramEnd"/>
      <w:r w:rsidR="00352A7F">
        <w:t>2</w:t>
      </w:r>
      <w:r w:rsidR="007F453B">
        <w:t xml:space="preserve">). </w:t>
      </w:r>
      <w:r w:rsidR="00401137">
        <w:t xml:space="preserve"> </w:t>
      </w:r>
      <w:r w:rsidR="0034273F">
        <w:t xml:space="preserve">A 2018 study </w:t>
      </w:r>
      <w:r w:rsidR="0093652A">
        <w:t xml:space="preserve">of </w:t>
      </w:r>
      <w:proofErr w:type="gramStart"/>
      <w:r w:rsidR="0093652A">
        <w:t>13-17 year olds</w:t>
      </w:r>
      <w:proofErr w:type="gramEnd"/>
      <w:r w:rsidR="0093652A">
        <w:t xml:space="preserve"> </w:t>
      </w:r>
      <w:r w:rsidR="0034273F">
        <w:t xml:space="preserve">found that </w:t>
      </w:r>
      <w:r w:rsidR="0093652A">
        <w:t xml:space="preserve">youth’s marijuana use was positively correlated with their perception of living near a marijuana retail store. </w:t>
      </w:r>
      <w:r w:rsidR="002472E9">
        <w:t xml:space="preserve"> The study also found </w:t>
      </w:r>
      <w:r w:rsidR="0034273F">
        <w:t xml:space="preserve">the impact of location on youth </w:t>
      </w:r>
      <w:r w:rsidR="00143EBA">
        <w:t xml:space="preserve">marijuana </w:t>
      </w:r>
      <w:r w:rsidR="0034273F">
        <w:t>use</w:t>
      </w:r>
      <w:r w:rsidR="00143EBA">
        <w:t xml:space="preserve"> was moderated by </w:t>
      </w:r>
      <w:r w:rsidR="002472E9">
        <w:t>youth’s</w:t>
      </w:r>
      <w:r w:rsidR="00143EBA">
        <w:t xml:space="preserve"> attitudes toward the drug. </w:t>
      </w:r>
      <w:r w:rsidR="006A113E">
        <w:t>T</w:t>
      </w:r>
      <w:r w:rsidR="00B77858">
        <w:t xml:space="preserve">he location of a </w:t>
      </w:r>
      <w:r w:rsidR="006A113E">
        <w:t xml:space="preserve">marijuana </w:t>
      </w:r>
      <w:r w:rsidR="00B77858">
        <w:t xml:space="preserve">retail establishment was more impactful on youth </w:t>
      </w:r>
      <w:r w:rsidR="006A113E">
        <w:t xml:space="preserve">marijuana </w:t>
      </w:r>
      <w:r w:rsidR="00B77858">
        <w:t>use if teen</w:t>
      </w:r>
      <w:r w:rsidR="002472E9">
        <w:t>s</w:t>
      </w:r>
      <w:r w:rsidR="00B77858">
        <w:t xml:space="preserve"> ha</w:t>
      </w:r>
      <w:r w:rsidR="006A113E">
        <w:t>d existing</w:t>
      </w:r>
      <w:r w:rsidR="00B77858">
        <w:t xml:space="preserve"> favorable attitude toward </w:t>
      </w:r>
      <w:proofErr w:type="gramStart"/>
      <w:r w:rsidR="00B77858">
        <w:t>marijuana(</w:t>
      </w:r>
      <w:proofErr w:type="gramEnd"/>
      <w:r w:rsidR="00352A7F">
        <w:t>3</w:t>
      </w:r>
      <w:r w:rsidR="00B77858">
        <w:t xml:space="preserve">). </w:t>
      </w:r>
    </w:p>
    <w:p w14:paraId="6F7621E9" w14:textId="77777777" w:rsidR="00B77858" w:rsidRDefault="00B77858" w:rsidP="005A5998">
      <w:pPr>
        <w:spacing w:after="0"/>
      </w:pPr>
    </w:p>
    <w:p w14:paraId="4610E700" w14:textId="0082F463" w:rsidR="00F9366D" w:rsidRDefault="008C1954" w:rsidP="005A5998">
      <w:pPr>
        <w:spacing w:after="0"/>
      </w:pPr>
      <w:r>
        <w:t xml:space="preserve">While </w:t>
      </w:r>
      <w:r w:rsidR="00FD7875">
        <w:t>marijuana</w:t>
      </w:r>
      <w:r>
        <w:t xml:space="preserve"> stores and the density of </w:t>
      </w:r>
      <w:r w:rsidR="00FD7875">
        <w:t>marijuana</w:t>
      </w:r>
      <w:r>
        <w:t xml:space="preserve"> stores could be considered one form of advertising </w:t>
      </w:r>
      <w:r w:rsidR="00FD7875">
        <w:t>marijuana</w:t>
      </w:r>
      <w:r>
        <w:t xml:space="preserve"> products, it is more likely that children will be exposed to marijuana marketing through social media, internet, and other mediums. </w:t>
      </w:r>
      <w:r w:rsidR="00E45DE5">
        <w:t xml:space="preserve"> A study for the CDC</w:t>
      </w:r>
      <w:r w:rsidR="00E33A7C">
        <w:t xml:space="preserve"> (</w:t>
      </w:r>
      <w:proofErr w:type="spellStart"/>
      <w:r w:rsidR="00E33A7C">
        <w:t>Hongying</w:t>
      </w:r>
      <w:proofErr w:type="spellEnd"/>
      <w:r w:rsidR="00E33A7C">
        <w:t xml:space="preserve"> Dai, PhD, </w:t>
      </w:r>
      <w:r w:rsidR="00E45DE5">
        <w:t>November 2017</w:t>
      </w:r>
      <w:r w:rsidR="00E33A7C">
        <w:t xml:space="preserve">) </w:t>
      </w:r>
      <w:r w:rsidR="00E45DE5">
        <w:t>found that exposure to marijuana advertisements</w:t>
      </w:r>
      <w:r w:rsidR="008D52D0">
        <w:t xml:space="preserve"> (via social media, internet, billboards, radio, magazines, </w:t>
      </w:r>
      <w:proofErr w:type="spellStart"/>
      <w:r w:rsidR="008D52D0">
        <w:t>etc</w:t>
      </w:r>
      <w:proofErr w:type="spellEnd"/>
      <w:r w:rsidR="008D52D0">
        <w:t>)</w:t>
      </w:r>
      <w:r w:rsidR="00845B1A">
        <w:t xml:space="preserve"> i</w:t>
      </w:r>
      <w:r w:rsidR="00E45DE5">
        <w:t xml:space="preserve">ncreased the likelihood of adolescents using marijuana. </w:t>
      </w:r>
      <w:r w:rsidR="00E33A7C">
        <w:t xml:space="preserve">Dr Dai found that </w:t>
      </w:r>
      <w:r w:rsidR="00412E25">
        <w:t>when youth were exposed to one</w:t>
      </w:r>
      <w:r w:rsidR="008D52D0">
        <w:t xml:space="preserve"> source of marijuana advertising</w:t>
      </w:r>
      <w:r w:rsidR="00453E46">
        <w:t>,</w:t>
      </w:r>
      <w:r w:rsidR="008D52D0">
        <w:t xml:space="preserve"> youth had a 60% increase in the odds of being a current marijuana user.  Those odds more than doubled when youth were </w:t>
      </w:r>
      <w:r w:rsidR="00845B1A">
        <w:t>expos</w:t>
      </w:r>
      <w:r w:rsidR="008D52D0">
        <w:t>ed</w:t>
      </w:r>
      <w:r w:rsidR="00845B1A">
        <w:t xml:space="preserve"> to </w:t>
      </w:r>
      <w:r w:rsidR="008D52D0">
        <w:t>three or more sources of marij</w:t>
      </w:r>
      <w:r w:rsidR="00845B1A">
        <w:t xml:space="preserve">uana advertisements </w:t>
      </w:r>
      <w:r w:rsidR="00EC4143">
        <w:t>(</w:t>
      </w:r>
      <w:r w:rsidR="00352A7F">
        <w:t>4</w:t>
      </w:r>
      <w:r w:rsidR="00EC4143">
        <w:t xml:space="preserve">). </w:t>
      </w:r>
      <w:r w:rsidR="00352A7F">
        <w:t xml:space="preserve"> Megan Moreno</w:t>
      </w:r>
      <w:r w:rsidR="00FA0E7A">
        <w:t>, MD, MPH,</w:t>
      </w:r>
      <w:r w:rsidR="00352A7F">
        <w:t xml:space="preserve"> and colleagues </w:t>
      </w:r>
      <w:r w:rsidR="000D5D1E">
        <w:t>found that one in three teens in states with legal non-medical marijuana ha</w:t>
      </w:r>
      <w:r w:rsidR="00401137">
        <w:t>d</w:t>
      </w:r>
      <w:r w:rsidR="000D5D1E">
        <w:t xml:space="preserve"> favorite marijuana brands </w:t>
      </w:r>
      <w:r w:rsidR="00FA0E7A">
        <w:t>that they follow</w:t>
      </w:r>
      <w:r w:rsidR="00401137">
        <w:t>ed</w:t>
      </w:r>
      <w:r w:rsidR="00FA0E7A">
        <w:t xml:space="preserve"> </w:t>
      </w:r>
      <w:r w:rsidR="000D5D1E">
        <w:t>on social media.</w:t>
      </w:r>
      <w:r w:rsidR="00FA0E7A">
        <w:t xml:space="preserve">  Their results showed that those teens who follow</w:t>
      </w:r>
      <w:r w:rsidR="00CA029F">
        <w:t>ed</w:t>
      </w:r>
      <w:r w:rsidR="00FA0E7A">
        <w:t xml:space="preserve"> a favorite marijuana brand on social media </w:t>
      </w:r>
      <w:r w:rsidR="00CA029F">
        <w:t>were</w:t>
      </w:r>
      <w:r w:rsidR="00FA0E7A">
        <w:t xml:space="preserve"> eight times more likely to have used marijuana in the last 28 days.</w:t>
      </w:r>
      <w:r w:rsidR="00412E25">
        <w:t xml:space="preserve"> “When 45% of youth report being online almost constantly, exposure to marijuana marketing on social media may put their health and futures at </w:t>
      </w:r>
      <w:proofErr w:type="gramStart"/>
      <w:r w:rsidR="00412E25">
        <w:t>risk”(</w:t>
      </w:r>
      <w:proofErr w:type="gramEnd"/>
      <w:r w:rsidR="00412E25">
        <w:t>5).</w:t>
      </w:r>
    </w:p>
    <w:p w14:paraId="45F4EF3B" w14:textId="77777777" w:rsidR="00EC4143" w:rsidRDefault="00EC4143" w:rsidP="005A5998">
      <w:pPr>
        <w:spacing w:after="0"/>
        <w:rPr>
          <w:b/>
          <w:bCs/>
        </w:rPr>
      </w:pPr>
    </w:p>
    <w:p w14:paraId="2826229D" w14:textId="0EBA61A8" w:rsidR="00A70454" w:rsidRPr="00A41865" w:rsidRDefault="00DB26AB" w:rsidP="005A5998">
      <w:pPr>
        <w:spacing w:after="0"/>
        <w:rPr>
          <w:b/>
          <w:bCs/>
        </w:rPr>
      </w:pPr>
      <w:r>
        <w:rPr>
          <w:b/>
          <w:bCs/>
        </w:rPr>
        <w:t xml:space="preserve">Addiction and </w:t>
      </w:r>
      <w:r w:rsidR="006832B6">
        <w:rPr>
          <w:b/>
          <w:bCs/>
        </w:rPr>
        <w:t>Cannabis</w:t>
      </w:r>
      <w:r>
        <w:rPr>
          <w:b/>
          <w:bCs/>
        </w:rPr>
        <w:t xml:space="preserve"> Use Disorder</w:t>
      </w:r>
      <w:r w:rsidR="00A41865" w:rsidRPr="00A41865">
        <w:rPr>
          <w:b/>
          <w:bCs/>
        </w:rPr>
        <w:t>:</w:t>
      </w:r>
    </w:p>
    <w:p w14:paraId="6EACA7A7" w14:textId="7F021DF6" w:rsidR="00C80E16" w:rsidRDefault="006832B6" w:rsidP="005A5998">
      <w:pPr>
        <w:spacing w:after="0"/>
      </w:pPr>
      <w:r>
        <w:t>Cannabis</w:t>
      </w:r>
      <w:r w:rsidR="004A0CD9">
        <w:t xml:space="preserve"> is addictive.  The development stage of the </w:t>
      </w:r>
      <w:r w:rsidR="006D573C">
        <w:t>adolescent</w:t>
      </w:r>
      <w:r w:rsidR="004A0CD9">
        <w:t xml:space="preserve"> brain</w:t>
      </w:r>
      <w:r w:rsidR="007D63F9">
        <w:t xml:space="preserve"> is especially vulnerable to substance use given that it is primed for addiction.  This does not mean that all children who use </w:t>
      </w:r>
      <w:r>
        <w:t>cannabis</w:t>
      </w:r>
      <w:r w:rsidR="007D63F9">
        <w:t xml:space="preserve"> will become addicted. </w:t>
      </w:r>
      <w:r w:rsidR="00C80E16">
        <w:t xml:space="preserve"> </w:t>
      </w:r>
      <w:r w:rsidR="001B5972">
        <w:t xml:space="preserve">However, </w:t>
      </w:r>
      <w:r w:rsidR="00EC1646">
        <w:t>like tobacco</w:t>
      </w:r>
      <w:r w:rsidR="00D14B04">
        <w:t xml:space="preserve">, there is no safe or safer type of </w:t>
      </w:r>
      <w:r>
        <w:t>cannabis</w:t>
      </w:r>
      <w:r w:rsidR="00D14B04">
        <w:t xml:space="preserve">: </w:t>
      </w:r>
    </w:p>
    <w:p w14:paraId="100AA8CD" w14:textId="77777777" w:rsidR="00C80E16" w:rsidRDefault="00C80E16" w:rsidP="005A5998">
      <w:pPr>
        <w:spacing w:after="0"/>
      </w:pPr>
    </w:p>
    <w:p w14:paraId="029ED6CE" w14:textId="70A89FE3" w:rsidR="004A0CD9" w:rsidRDefault="00D14B04" w:rsidP="00895C47">
      <w:pPr>
        <w:spacing w:after="0"/>
        <w:ind w:left="720"/>
      </w:pPr>
      <w:r>
        <w:lastRenderedPageBreak/>
        <w:t xml:space="preserve">“people who use cannabis need to know that there is no universally safe level of cannabis use; thus, the only reliable way to avoid any risk for harm from using cannabis is to abstain from its </w:t>
      </w:r>
      <w:proofErr w:type="gramStart"/>
      <w:r>
        <w:t>use”(</w:t>
      </w:r>
      <w:proofErr w:type="gramEnd"/>
      <w:r>
        <w:t>6).</w:t>
      </w:r>
    </w:p>
    <w:p w14:paraId="2B6BBB62" w14:textId="77777777" w:rsidR="007D63F9" w:rsidRDefault="007D63F9" w:rsidP="005A5998">
      <w:pPr>
        <w:spacing w:after="0"/>
      </w:pPr>
    </w:p>
    <w:p w14:paraId="38FA4784" w14:textId="3AE61F5B" w:rsidR="001C3113" w:rsidRDefault="00D86EB7" w:rsidP="005A5998">
      <w:pPr>
        <w:spacing w:after="0"/>
      </w:pPr>
      <w:r>
        <w:t>In a 2019 report, t</w:t>
      </w:r>
      <w:r w:rsidR="00215BB2">
        <w:t>he National Institute for Drug Abuse (NIDA),</w:t>
      </w:r>
      <w:r w:rsidR="00E95B8B">
        <w:t xml:space="preserve"> </w:t>
      </w:r>
      <w:r>
        <w:t xml:space="preserve">stated “people who begin using marijuana before the age 18 are 4 to 7 times more likely to develop a marijuana use disorder than </w:t>
      </w:r>
      <w:proofErr w:type="gramStart"/>
      <w:r>
        <w:t>adults”</w:t>
      </w:r>
      <w:r w:rsidR="00D377B9">
        <w:t>(</w:t>
      </w:r>
      <w:proofErr w:type="gramEnd"/>
      <w:r w:rsidR="00AF05FE">
        <w:t>7</w:t>
      </w:r>
      <w:r w:rsidR="00D377B9">
        <w:t>)</w:t>
      </w:r>
      <w:r>
        <w:t xml:space="preserve">.  </w:t>
      </w:r>
      <w:r w:rsidR="00666368">
        <w:t xml:space="preserve">This concurs with the results of a </w:t>
      </w:r>
      <w:r w:rsidR="001C3113">
        <w:t>2014 study (Volkow, Baler, Compton &amp; Weiss)</w:t>
      </w:r>
      <w:r w:rsidR="00666368">
        <w:t xml:space="preserve"> that showed </w:t>
      </w:r>
      <w:r w:rsidR="001C3113">
        <w:t xml:space="preserve">when marijuana use begins in adolescence, those individuals are more likely to develop a </w:t>
      </w:r>
      <w:r w:rsidR="00401137">
        <w:t>marijuana</w:t>
      </w:r>
      <w:r w:rsidR="001C3113">
        <w:t xml:space="preserve"> use disorder within two years of</w:t>
      </w:r>
      <w:r w:rsidR="004074E9">
        <w:t xml:space="preserve"> first use</w:t>
      </w:r>
      <w:r w:rsidR="00666368">
        <w:t xml:space="preserve"> compared to </w:t>
      </w:r>
      <w:r w:rsidR="004074E9">
        <w:t xml:space="preserve">those who delay use until they are </w:t>
      </w:r>
      <w:proofErr w:type="gramStart"/>
      <w:r w:rsidR="004074E9">
        <w:t>adults</w:t>
      </w:r>
      <w:r w:rsidR="00D377B9">
        <w:t>(</w:t>
      </w:r>
      <w:proofErr w:type="gramEnd"/>
      <w:r w:rsidR="00AF05FE">
        <w:t>8</w:t>
      </w:r>
      <w:r w:rsidR="00D377B9">
        <w:t>)</w:t>
      </w:r>
      <w:r w:rsidR="004074E9">
        <w:t xml:space="preserve">. </w:t>
      </w:r>
      <w:r w:rsidR="0073230D">
        <w:t xml:space="preserve"> Cerda` and colleagues </w:t>
      </w:r>
      <w:r w:rsidR="00225BD9">
        <w:t>compared</w:t>
      </w:r>
      <w:r w:rsidR="00F36C8F">
        <w:t xml:space="preserve"> </w:t>
      </w:r>
      <w:r w:rsidR="00225BD9">
        <w:t xml:space="preserve">adolescent </w:t>
      </w:r>
      <w:r w:rsidR="00F36C8F">
        <w:t xml:space="preserve">non-medical marijuana use </w:t>
      </w:r>
      <w:r w:rsidR="00225BD9">
        <w:t xml:space="preserve">in legalized states and non-legalized states </w:t>
      </w:r>
      <w:r w:rsidR="00F36C8F">
        <w:t xml:space="preserve">between 2008 and 2016 and </w:t>
      </w:r>
      <w:r w:rsidR="00225BD9">
        <w:t>found</w:t>
      </w:r>
      <w:r w:rsidR="00F36C8F">
        <w:t xml:space="preserve"> a 25% increase in adolescent marijuana use disorder</w:t>
      </w:r>
      <w:r w:rsidR="00225BD9">
        <w:t xml:space="preserve"> among youth from states with legalized </w:t>
      </w:r>
      <w:proofErr w:type="gramStart"/>
      <w:r w:rsidR="00225BD9">
        <w:t>marijuana(</w:t>
      </w:r>
      <w:proofErr w:type="gramEnd"/>
      <w:r w:rsidR="00AF05FE">
        <w:t>9</w:t>
      </w:r>
      <w:r w:rsidR="00225BD9">
        <w:t>).</w:t>
      </w:r>
    </w:p>
    <w:p w14:paraId="3ABF394A" w14:textId="5505A7BE" w:rsidR="005A5998" w:rsidRDefault="005A5998" w:rsidP="005A5998">
      <w:pPr>
        <w:spacing w:after="0"/>
      </w:pPr>
    </w:p>
    <w:p w14:paraId="315164F3" w14:textId="1CB76FA1" w:rsidR="00A41865" w:rsidRDefault="00A41865" w:rsidP="005A5998">
      <w:pPr>
        <w:spacing w:after="0"/>
        <w:rPr>
          <w:b/>
          <w:bCs/>
        </w:rPr>
      </w:pPr>
      <w:r w:rsidRPr="00A41865">
        <w:rPr>
          <w:b/>
          <w:bCs/>
        </w:rPr>
        <w:t xml:space="preserve">Impact of </w:t>
      </w:r>
      <w:r w:rsidR="006832B6">
        <w:rPr>
          <w:b/>
          <w:bCs/>
        </w:rPr>
        <w:t>Cannabis</w:t>
      </w:r>
      <w:r w:rsidRPr="00A41865">
        <w:rPr>
          <w:b/>
          <w:bCs/>
        </w:rPr>
        <w:t xml:space="preserve"> on </w:t>
      </w:r>
      <w:r>
        <w:rPr>
          <w:b/>
          <w:bCs/>
        </w:rPr>
        <w:t>the Adolescent</w:t>
      </w:r>
      <w:r w:rsidRPr="00A41865">
        <w:rPr>
          <w:b/>
          <w:bCs/>
        </w:rPr>
        <w:t xml:space="preserve"> Brain:</w:t>
      </w:r>
    </w:p>
    <w:p w14:paraId="213C01C0" w14:textId="24B3EF9E" w:rsidR="00AD5C2C" w:rsidRDefault="00AD5C2C" w:rsidP="005A5998">
      <w:pPr>
        <w:spacing w:after="0"/>
      </w:pPr>
      <w:r>
        <w:t>Given that the brain is not fully developed until the mid</w:t>
      </w:r>
      <w:r w:rsidR="00CA029F">
        <w:t>-</w:t>
      </w:r>
      <w:r>
        <w:t xml:space="preserve">twenties, children’s brains are particularly vulnerable to the effects of </w:t>
      </w:r>
      <w:r w:rsidR="00225B5E">
        <w:t>cannabis</w:t>
      </w:r>
      <w:r>
        <w:t xml:space="preserve">.  </w:t>
      </w:r>
      <w:r w:rsidR="00DB26AB">
        <w:t xml:space="preserve">Youth </w:t>
      </w:r>
      <w:r w:rsidR="00225B5E">
        <w:t>cannabis</w:t>
      </w:r>
      <w:r w:rsidR="00DB26AB">
        <w:t xml:space="preserve"> use can reduce academic performance, </w:t>
      </w:r>
      <w:r w:rsidR="00C80E16">
        <w:t>impair cognitive processes important for driving or for participating in sports</w:t>
      </w:r>
      <w:r w:rsidR="00C05870">
        <w:t>, and decrease motivation to maintain social engagement</w:t>
      </w:r>
      <w:r w:rsidR="00C80E16">
        <w:t>.</w:t>
      </w:r>
    </w:p>
    <w:p w14:paraId="3AE8CE8F" w14:textId="77777777" w:rsidR="00AA2AF5" w:rsidRPr="00AD5C2C" w:rsidRDefault="00AA2AF5" w:rsidP="005A5998">
      <w:pPr>
        <w:spacing w:after="0"/>
      </w:pPr>
    </w:p>
    <w:p w14:paraId="78958453" w14:textId="6D88E3AC" w:rsidR="0087257F" w:rsidRDefault="0087257F" w:rsidP="005A5998">
      <w:pPr>
        <w:spacing w:after="0"/>
      </w:pPr>
      <w:r>
        <w:rPr>
          <w:noProof/>
        </w:rPr>
        <w:drawing>
          <wp:inline distT="0" distB="0" distL="0" distR="0" wp14:anchorId="74B575CF" wp14:editId="5E142E8F">
            <wp:extent cx="2490465" cy="1777915"/>
            <wp:effectExtent l="0" t="0" r="5715" b="0"/>
            <wp:docPr id="5" name="Picture 5" descr="How does drug abuse affect a teenage brain - Serene Ret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drug abuse affect a teenage brain - Serene Retre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507" cy="1802931"/>
                    </a:xfrm>
                    <a:prstGeom prst="rect">
                      <a:avLst/>
                    </a:prstGeom>
                    <a:noFill/>
                    <a:ln>
                      <a:noFill/>
                    </a:ln>
                  </pic:spPr>
                </pic:pic>
              </a:graphicData>
            </a:graphic>
          </wp:inline>
        </w:drawing>
      </w:r>
      <w:r>
        <w:t xml:space="preserve"> </w:t>
      </w:r>
      <w:r>
        <w:rPr>
          <w:noProof/>
        </w:rPr>
        <w:drawing>
          <wp:inline distT="0" distB="0" distL="0" distR="0" wp14:anchorId="613BA54B" wp14:editId="380E2901">
            <wp:extent cx="2443927" cy="1778635"/>
            <wp:effectExtent l="0" t="0" r="0" b="0"/>
            <wp:docPr id="6" name="Picture 6" descr="Marijuana DrugFacts | National Institute on Drug Abuse (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juana DrugFacts | National Institute on Drug Abuse (NI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9323" cy="1804396"/>
                    </a:xfrm>
                    <a:prstGeom prst="rect">
                      <a:avLst/>
                    </a:prstGeom>
                    <a:noFill/>
                    <a:ln>
                      <a:noFill/>
                    </a:ln>
                  </pic:spPr>
                </pic:pic>
              </a:graphicData>
            </a:graphic>
          </wp:inline>
        </w:drawing>
      </w:r>
      <w:r w:rsidRPr="0087257F">
        <w:t xml:space="preserve"> </w:t>
      </w:r>
    </w:p>
    <w:p w14:paraId="2CCAA2CC" w14:textId="74D43E9A" w:rsidR="004B6834" w:rsidRDefault="004B6834" w:rsidP="005A5998">
      <w:pPr>
        <w:spacing w:after="0"/>
      </w:pPr>
    </w:p>
    <w:p w14:paraId="6AE3310D" w14:textId="5A74F0C0" w:rsidR="00D416B3" w:rsidRDefault="00C05870" w:rsidP="005A5998">
      <w:pPr>
        <w:spacing w:after="0"/>
      </w:pPr>
      <w:r>
        <w:t>Short-term and</w:t>
      </w:r>
      <w:r w:rsidR="0050512C">
        <w:t>/or</w:t>
      </w:r>
      <w:r>
        <w:t xml:space="preserve"> long-term </w:t>
      </w:r>
      <w:r w:rsidR="009C6823">
        <w:t xml:space="preserve">brain damage can </w:t>
      </w:r>
      <w:r w:rsidR="0050512C">
        <w:t>occur</w:t>
      </w:r>
      <w:r w:rsidR="009C6823">
        <w:t xml:space="preserve"> to young brains if youth use </w:t>
      </w:r>
      <w:r w:rsidR="00225B5E">
        <w:t>cannabis</w:t>
      </w:r>
      <w:r w:rsidR="009C6823">
        <w:t xml:space="preserve"> daily and if the potency of THC is more than 10%.</w:t>
      </w:r>
      <w:r w:rsidR="002D1607">
        <w:t xml:space="preserve">  </w:t>
      </w:r>
      <w:r w:rsidR="009C6823">
        <w:t>According to SAM’s “Lessons Learned From State Marijuana Legalization, 2020-2021 edition, “frequency of marijuana use, as well as, higher THC potency, is associated with the most severe impact on mental health</w:t>
      </w:r>
      <w:r w:rsidR="0099719B">
        <w:t xml:space="preserve">, which is evidenced by psychosis, suicidality, reshaping brain matter, and </w:t>
      </w:r>
      <w:proofErr w:type="gramStart"/>
      <w:r w:rsidR="0099719B">
        <w:t>addiction”(</w:t>
      </w:r>
      <w:proofErr w:type="gramEnd"/>
      <w:r w:rsidR="00AF05FE">
        <w:t>10</w:t>
      </w:r>
      <w:r w:rsidR="0099719B">
        <w:t>)</w:t>
      </w:r>
      <w:r w:rsidR="009C6823">
        <w:t xml:space="preserve"> </w:t>
      </w:r>
      <w:r w:rsidR="00AF05FE">
        <w:t>.</w:t>
      </w:r>
    </w:p>
    <w:p w14:paraId="010489C7" w14:textId="77777777" w:rsidR="00AF05FE" w:rsidRDefault="00AF05FE" w:rsidP="005A5998">
      <w:pPr>
        <w:spacing w:after="0"/>
      </w:pPr>
    </w:p>
    <w:p w14:paraId="08CA88C3" w14:textId="3C681BF0" w:rsidR="00CD0250" w:rsidRDefault="002D1607" w:rsidP="005A5998">
      <w:pPr>
        <w:spacing w:after="0"/>
      </w:pPr>
      <w:r>
        <w:t xml:space="preserve">SAMHSA states in their “Evidence Based Resource Guide Series: Preventing Marijuana Use Among Youth”, that </w:t>
      </w:r>
      <w:r w:rsidR="00CD0250">
        <w:t xml:space="preserve">THC </w:t>
      </w:r>
      <w:r w:rsidR="006A67D3">
        <w:t xml:space="preserve">can </w:t>
      </w:r>
      <w:r w:rsidR="00CD0250">
        <w:t xml:space="preserve">impair a child’s brain </w:t>
      </w:r>
      <w:r w:rsidR="006A67D3">
        <w:t>by disrupting the normal circuits that control:</w:t>
      </w:r>
    </w:p>
    <w:p w14:paraId="7B6D71F3" w14:textId="38C652CD" w:rsidR="00495EFB" w:rsidRDefault="006A67D3" w:rsidP="006A67D3">
      <w:pPr>
        <w:pStyle w:val="ListParagraph"/>
        <w:numPr>
          <w:ilvl w:val="0"/>
          <w:numId w:val="6"/>
        </w:numPr>
        <w:spacing w:after="0"/>
      </w:pPr>
      <w:r>
        <w:t>L</w:t>
      </w:r>
      <w:r w:rsidR="00CD0250">
        <w:t>earning, memory</w:t>
      </w:r>
      <w:r w:rsidR="00495EFB">
        <w:t>, and other cognitive functions essential to learning</w:t>
      </w:r>
    </w:p>
    <w:p w14:paraId="060B911A" w14:textId="77777777" w:rsidR="006A67D3" w:rsidRDefault="00495EFB" w:rsidP="006A67D3">
      <w:pPr>
        <w:pStyle w:val="ListParagraph"/>
        <w:numPr>
          <w:ilvl w:val="0"/>
          <w:numId w:val="6"/>
        </w:numPr>
        <w:spacing w:after="0"/>
      </w:pPr>
      <w:r>
        <w:t>Pleas</w:t>
      </w:r>
      <w:r w:rsidR="006A67D3">
        <w:t>ure/reward systems</w:t>
      </w:r>
    </w:p>
    <w:p w14:paraId="6697E928" w14:textId="77777777" w:rsidR="006A67D3" w:rsidRDefault="006A67D3" w:rsidP="006A67D3">
      <w:pPr>
        <w:pStyle w:val="ListParagraph"/>
        <w:numPr>
          <w:ilvl w:val="0"/>
          <w:numId w:val="6"/>
        </w:numPr>
        <w:spacing w:after="0"/>
      </w:pPr>
      <w:r>
        <w:t>Appetite</w:t>
      </w:r>
    </w:p>
    <w:p w14:paraId="20BCD013" w14:textId="77777777" w:rsidR="006A67D3" w:rsidRDefault="006A67D3" w:rsidP="006A67D3">
      <w:pPr>
        <w:pStyle w:val="ListParagraph"/>
        <w:numPr>
          <w:ilvl w:val="0"/>
          <w:numId w:val="6"/>
        </w:numPr>
        <w:spacing w:after="0"/>
      </w:pPr>
      <w:r>
        <w:t>Motion/motor control</w:t>
      </w:r>
    </w:p>
    <w:p w14:paraId="0832EA8B" w14:textId="77777777" w:rsidR="006A67D3" w:rsidRDefault="006A67D3" w:rsidP="006A67D3">
      <w:pPr>
        <w:pStyle w:val="ListParagraph"/>
        <w:numPr>
          <w:ilvl w:val="0"/>
          <w:numId w:val="6"/>
        </w:numPr>
        <w:spacing w:after="0"/>
      </w:pPr>
      <w:r>
        <w:t>Sleep</w:t>
      </w:r>
    </w:p>
    <w:p w14:paraId="38BF0DA8" w14:textId="77777777" w:rsidR="006A67D3" w:rsidRDefault="006A67D3" w:rsidP="006A67D3">
      <w:pPr>
        <w:pStyle w:val="ListParagraph"/>
        <w:numPr>
          <w:ilvl w:val="0"/>
          <w:numId w:val="6"/>
        </w:numPr>
        <w:spacing w:after="0"/>
      </w:pPr>
      <w:r>
        <w:t>Reproduction/fertility</w:t>
      </w:r>
    </w:p>
    <w:p w14:paraId="16EE10DC" w14:textId="252383D9" w:rsidR="006A67D3" w:rsidRDefault="006A67D3" w:rsidP="006A67D3">
      <w:pPr>
        <w:pStyle w:val="ListParagraph"/>
        <w:numPr>
          <w:ilvl w:val="0"/>
          <w:numId w:val="6"/>
        </w:numPr>
        <w:spacing w:after="0"/>
      </w:pPr>
      <w:r>
        <w:lastRenderedPageBreak/>
        <w:t xml:space="preserve">Other possible effects include altered senses, changes in mood, and </w:t>
      </w:r>
      <w:proofErr w:type="gramStart"/>
      <w:r>
        <w:t>hallucinations</w:t>
      </w:r>
      <w:r w:rsidR="007B6C17">
        <w:t>(</w:t>
      </w:r>
      <w:proofErr w:type="gramEnd"/>
      <w:r w:rsidR="00AD5C2C">
        <w:t>1</w:t>
      </w:r>
      <w:r w:rsidR="00AF05FE">
        <w:t>1</w:t>
      </w:r>
      <w:r w:rsidR="007B6C17">
        <w:t>)</w:t>
      </w:r>
    </w:p>
    <w:p w14:paraId="4EFD24F8" w14:textId="77777777" w:rsidR="00AF05FE" w:rsidRDefault="00AF05FE" w:rsidP="005A5998">
      <w:pPr>
        <w:spacing w:after="0"/>
      </w:pPr>
    </w:p>
    <w:p w14:paraId="5F1505DF" w14:textId="77777777" w:rsidR="00AA2AF5" w:rsidRPr="00AA2AF5" w:rsidRDefault="00AA2AF5" w:rsidP="005A5998">
      <w:pPr>
        <w:spacing w:after="0"/>
        <w:rPr>
          <w:b/>
          <w:bCs/>
        </w:rPr>
      </w:pPr>
      <w:r w:rsidRPr="00AA2AF5">
        <w:rPr>
          <w:b/>
          <w:bCs/>
        </w:rPr>
        <w:t>Potency:</w:t>
      </w:r>
    </w:p>
    <w:p w14:paraId="2EB6BAC6" w14:textId="6B1203D3" w:rsidR="0050512C" w:rsidRDefault="0050512C" w:rsidP="0050512C">
      <w:pPr>
        <w:spacing w:after="0"/>
      </w:pPr>
      <w:r>
        <w:t xml:space="preserve">The potency of today’s </w:t>
      </w:r>
      <w:r w:rsidR="00225B5E">
        <w:t>cannabis</w:t>
      </w:r>
      <w:r>
        <w:t xml:space="preserve"> is nothing like the </w:t>
      </w:r>
      <w:r w:rsidR="00225B5E">
        <w:t>cannabis</w:t>
      </w:r>
      <w:r>
        <w:t xml:space="preserve"> of decades ago</w:t>
      </w:r>
      <w:r w:rsidR="0030725A">
        <w:t>; the THC potency is significantly higher today</w:t>
      </w:r>
      <w:r>
        <w:t>.</w:t>
      </w:r>
      <w:r w:rsidR="0030725A">
        <w:t xml:space="preserve">  </w:t>
      </w:r>
      <w:r w:rsidR="00F843D3">
        <w:t xml:space="preserve">The average THC content in a </w:t>
      </w:r>
      <w:r w:rsidR="00225B5E">
        <w:t>cannabis</w:t>
      </w:r>
      <w:r w:rsidR="00F843D3">
        <w:t xml:space="preserve"> flower can vary from 14% to 30%. The </w:t>
      </w:r>
      <w:r w:rsidR="0030725A">
        <w:t xml:space="preserve">THC </w:t>
      </w:r>
      <w:r w:rsidR="00F843D3">
        <w:t xml:space="preserve">level in the “concentrates” can be 40% to 90% or higher. </w:t>
      </w:r>
      <w:r w:rsidR="0030725A">
        <w:t>The higher the THC potency, the higher the risk of cognitive impairment</w:t>
      </w:r>
      <w:r w:rsidR="000A4F19">
        <w:t>,</w:t>
      </w:r>
      <w:r w:rsidR="005E5F10">
        <w:t xml:space="preserve"> </w:t>
      </w:r>
      <w:r w:rsidR="000A4F19" w:rsidRPr="00401137">
        <w:t>developing a</w:t>
      </w:r>
      <w:r w:rsidR="000A4F19">
        <w:t xml:space="preserve"> </w:t>
      </w:r>
      <w:r w:rsidR="00225B5E">
        <w:t>cannabis</w:t>
      </w:r>
      <w:r w:rsidR="005E5F10">
        <w:t xml:space="preserve"> use disorder, and psychosis. </w:t>
      </w:r>
      <w:r w:rsidR="000A4F19">
        <w:t xml:space="preserve"> </w:t>
      </w:r>
      <w:r>
        <w:t xml:space="preserve">Any </w:t>
      </w:r>
      <w:r w:rsidR="00225B5E">
        <w:t>cannabis</w:t>
      </w:r>
      <w:r>
        <w:t xml:space="preserve"> product that contains 10% THC or more is a product that impacts brain functioning. </w:t>
      </w:r>
      <w:r w:rsidR="002E1E34">
        <w:t xml:space="preserve"> </w:t>
      </w:r>
    </w:p>
    <w:p w14:paraId="4CBA3918" w14:textId="77777777" w:rsidR="00DB26AB" w:rsidRDefault="00DB26AB" w:rsidP="005A5998">
      <w:pPr>
        <w:spacing w:after="0"/>
      </w:pPr>
    </w:p>
    <w:p w14:paraId="44684B78" w14:textId="77777777" w:rsidR="002E1E34" w:rsidRPr="005E5F10" w:rsidRDefault="002E1E34" w:rsidP="005A5998">
      <w:pPr>
        <w:spacing w:after="0"/>
        <w:rPr>
          <w:b/>
          <w:bCs/>
        </w:rPr>
      </w:pPr>
      <w:r w:rsidRPr="005E5F10">
        <w:rPr>
          <w:b/>
          <w:bCs/>
        </w:rPr>
        <w:t>Perception of Risk:</w:t>
      </w:r>
    </w:p>
    <w:p w14:paraId="4A3E62B5" w14:textId="64D60491" w:rsidR="00EF4D34" w:rsidRDefault="00401137" w:rsidP="005A5998">
      <w:pPr>
        <w:spacing w:after="0"/>
      </w:pPr>
      <w:r>
        <w:t>The presence of c</w:t>
      </w:r>
      <w:r w:rsidR="002E1E34">
        <w:t xml:space="preserve">ommercial </w:t>
      </w:r>
      <w:r w:rsidR="00C04C00">
        <w:t>marijuana</w:t>
      </w:r>
      <w:r w:rsidR="002E1E34">
        <w:t xml:space="preserve"> establishments</w:t>
      </w:r>
      <w:r w:rsidR="005E5F10">
        <w:t xml:space="preserve"> in Fairfield </w:t>
      </w:r>
      <w:r w:rsidR="002E1E34">
        <w:t>would reinforc</w:t>
      </w:r>
      <w:r w:rsidR="005E5F10">
        <w:t>e</w:t>
      </w:r>
      <w:r w:rsidR="002E1E34">
        <w:t xml:space="preserve"> the message that marijuana is not harmful.  </w:t>
      </w:r>
      <w:r w:rsidR="00EF4D34">
        <w:t xml:space="preserve">The existence of medical marijuana dispensaries already confuse youth.  </w:t>
      </w:r>
      <w:r w:rsidR="00E731F5">
        <w:t xml:space="preserve">In general, </w:t>
      </w:r>
      <w:r w:rsidR="009A56CA">
        <w:t>y</w:t>
      </w:r>
      <w:r w:rsidR="00EF4D34">
        <w:t xml:space="preserve">outh’s </w:t>
      </w:r>
      <w:r w:rsidR="002E1E34">
        <w:t xml:space="preserve">perception of risk </w:t>
      </w:r>
      <w:r w:rsidR="00EF4D34">
        <w:t xml:space="preserve">toward marijuana is </w:t>
      </w:r>
      <w:r w:rsidR="009A56CA">
        <w:t xml:space="preserve">inversely proportional to </w:t>
      </w:r>
      <w:r w:rsidR="00EF4D34">
        <w:t>youth use.  If adolescents do not believe that marijuana is harmful then they are more likely to use marijuana.</w:t>
      </w:r>
      <w:r>
        <w:t xml:space="preserve"> </w:t>
      </w:r>
      <w:r w:rsidR="00EF4D34">
        <w:t xml:space="preserve"> </w:t>
      </w:r>
      <w:r w:rsidR="009A56CA">
        <w:t>Below is local Fairfield youth data depicting the past-30 day use and perception of risk data from 2014 to 2021.  In all cases, the perception of risk should be significantly higher</w:t>
      </w:r>
      <w:r w:rsidR="0037125A">
        <w:t xml:space="preserve">, and past 30-day use rates lower. </w:t>
      </w:r>
    </w:p>
    <w:p w14:paraId="077962A2" w14:textId="77777777" w:rsidR="00AE4C00" w:rsidRDefault="00AE4C00" w:rsidP="005A5998">
      <w:pPr>
        <w:spacing w:after="0"/>
      </w:pPr>
    </w:p>
    <w:p w14:paraId="5F727A33" w14:textId="555A55F1" w:rsidR="00EF4D34" w:rsidRPr="00401137" w:rsidRDefault="00AE4C00" w:rsidP="005A5998">
      <w:pPr>
        <w:spacing w:after="0"/>
        <w:rPr>
          <w:b/>
          <w:bCs/>
          <w:i/>
          <w:iCs/>
        </w:rPr>
      </w:pPr>
      <w:r w:rsidRPr="00401137">
        <w:rPr>
          <w:b/>
          <w:bCs/>
          <w:i/>
          <w:iCs/>
        </w:rPr>
        <w:t>% of youth who use marijuana in the past 30 days and % of youth who view marijuana use as harmful from 2014 through 2021</w:t>
      </w:r>
    </w:p>
    <w:tbl>
      <w:tblPr>
        <w:tblStyle w:val="TableGrid"/>
        <w:tblW w:w="0" w:type="auto"/>
        <w:tblLook w:val="04A0" w:firstRow="1" w:lastRow="0" w:firstColumn="1" w:lastColumn="0" w:noHBand="0" w:noVBand="1"/>
      </w:tblPr>
      <w:tblGrid>
        <w:gridCol w:w="2310"/>
        <w:gridCol w:w="1156"/>
        <w:gridCol w:w="1190"/>
        <w:gridCol w:w="1157"/>
        <w:gridCol w:w="1190"/>
        <w:gridCol w:w="1157"/>
        <w:gridCol w:w="1190"/>
      </w:tblGrid>
      <w:tr w:rsidR="0037125A" w:rsidRPr="009F7649" w14:paraId="7DDD9B91" w14:textId="77777777" w:rsidTr="00E731F5">
        <w:tc>
          <w:tcPr>
            <w:tcW w:w="2337" w:type="dxa"/>
            <w:shd w:val="clear" w:color="auto" w:fill="FFFFFF" w:themeFill="background1"/>
          </w:tcPr>
          <w:p w14:paraId="0C7EC534" w14:textId="506F6BB3" w:rsidR="009F7649" w:rsidRPr="009F7649" w:rsidRDefault="0037125A" w:rsidP="009F7649">
            <w:pPr>
              <w:jc w:val="center"/>
              <w:rPr>
                <w:b/>
                <w:bCs/>
              </w:rPr>
            </w:pPr>
            <w:r>
              <w:rPr>
                <w:b/>
                <w:bCs/>
              </w:rPr>
              <w:t>Fairfield Youth Data</w:t>
            </w:r>
          </w:p>
        </w:tc>
        <w:tc>
          <w:tcPr>
            <w:tcW w:w="2337" w:type="dxa"/>
            <w:gridSpan w:val="2"/>
            <w:shd w:val="clear" w:color="auto" w:fill="FFFFFF" w:themeFill="background1"/>
          </w:tcPr>
          <w:p w14:paraId="7660167B" w14:textId="4AB75D14" w:rsidR="009F7649" w:rsidRPr="009F7649" w:rsidRDefault="009F7649" w:rsidP="009F7649">
            <w:pPr>
              <w:jc w:val="center"/>
              <w:rPr>
                <w:b/>
                <w:bCs/>
              </w:rPr>
            </w:pPr>
            <w:r w:rsidRPr="009F7649">
              <w:rPr>
                <w:b/>
                <w:bCs/>
              </w:rPr>
              <w:t>8</w:t>
            </w:r>
            <w:r w:rsidRPr="009F7649">
              <w:rPr>
                <w:b/>
                <w:bCs/>
                <w:vertAlign w:val="superscript"/>
              </w:rPr>
              <w:t>th</w:t>
            </w:r>
            <w:r w:rsidRPr="009F7649">
              <w:rPr>
                <w:b/>
                <w:bCs/>
              </w:rPr>
              <w:t xml:space="preserve"> Grade</w:t>
            </w:r>
          </w:p>
        </w:tc>
        <w:tc>
          <w:tcPr>
            <w:tcW w:w="2338" w:type="dxa"/>
            <w:gridSpan w:val="2"/>
            <w:shd w:val="clear" w:color="auto" w:fill="FFFFFF" w:themeFill="background1"/>
          </w:tcPr>
          <w:p w14:paraId="5F4B6E88" w14:textId="76200C1C" w:rsidR="009F7649" w:rsidRPr="009F7649" w:rsidRDefault="009F7649" w:rsidP="009F7649">
            <w:pPr>
              <w:jc w:val="center"/>
              <w:rPr>
                <w:b/>
                <w:bCs/>
              </w:rPr>
            </w:pPr>
            <w:r w:rsidRPr="009F7649">
              <w:rPr>
                <w:b/>
                <w:bCs/>
              </w:rPr>
              <w:t>10</w:t>
            </w:r>
            <w:r w:rsidRPr="009F7649">
              <w:rPr>
                <w:b/>
                <w:bCs/>
                <w:vertAlign w:val="superscript"/>
              </w:rPr>
              <w:t>th</w:t>
            </w:r>
            <w:r w:rsidRPr="009F7649">
              <w:rPr>
                <w:b/>
                <w:bCs/>
              </w:rPr>
              <w:t xml:space="preserve"> Grade</w:t>
            </w:r>
          </w:p>
        </w:tc>
        <w:tc>
          <w:tcPr>
            <w:tcW w:w="2338" w:type="dxa"/>
            <w:gridSpan w:val="2"/>
            <w:shd w:val="clear" w:color="auto" w:fill="FFFFFF" w:themeFill="background1"/>
          </w:tcPr>
          <w:p w14:paraId="6BDC4F5D" w14:textId="352402AE" w:rsidR="009F7649" w:rsidRPr="009F7649" w:rsidRDefault="009F7649" w:rsidP="009F7649">
            <w:pPr>
              <w:jc w:val="center"/>
              <w:rPr>
                <w:b/>
                <w:bCs/>
              </w:rPr>
            </w:pPr>
            <w:r w:rsidRPr="009F7649">
              <w:rPr>
                <w:b/>
                <w:bCs/>
              </w:rPr>
              <w:t>12</w:t>
            </w:r>
            <w:r w:rsidRPr="009F7649">
              <w:rPr>
                <w:b/>
                <w:bCs/>
                <w:vertAlign w:val="superscript"/>
              </w:rPr>
              <w:t>th</w:t>
            </w:r>
            <w:r w:rsidRPr="009F7649">
              <w:rPr>
                <w:b/>
                <w:bCs/>
              </w:rPr>
              <w:t xml:space="preserve"> Grade</w:t>
            </w:r>
          </w:p>
        </w:tc>
      </w:tr>
      <w:tr w:rsidR="00E731F5" w14:paraId="2FF415B2" w14:textId="77777777" w:rsidTr="00E731F5">
        <w:tc>
          <w:tcPr>
            <w:tcW w:w="2337" w:type="dxa"/>
          </w:tcPr>
          <w:p w14:paraId="39A60263" w14:textId="77777777" w:rsidR="009F7649" w:rsidRDefault="009F7649" w:rsidP="001C581A"/>
        </w:tc>
        <w:tc>
          <w:tcPr>
            <w:tcW w:w="1168" w:type="dxa"/>
            <w:shd w:val="clear" w:color="auto" w:fill="BFBFBF" w:themeFill="background1" w:themeFillShade="BF"/>
          </w:tcPr>
          <w:p w14:paraId="0EC2C54A" w14:textId="271328AA" w:rsidR="009F7649" w:rsidRDefault="009F7649" w:rsidP="001C581A">
            <w:r>
              <w:t>Past 30-Day Use</w:t>
            </w:r>
          </w:p>
        </w:tc>
        <w:tc>
          <w:tcPr>
            <w:tcW w:w="1169" w:type="dxa"/>
            <w:shd w:val="clear" w:color="auto" w:fill="FFFFFF" w:themeFill="background1"/>
          </w:tcPr>
          <w:p w14:paraId="30B65B6B" w14:textId="16CCEC4D" w:rsidR="009F7649" w:rsidRDefault="009F7649" w:rsidP="001C581A">
            <w:r>
              <w:t>Perception of Risk</w:t>
            </w:r>
          </w:p>
        </w:tc>
        <w:tc>
          <w:tcPr>
            <w:tcW w:w="1169" w:type="dxa"/>
            <w:shd w:val="clear" w:color="auto" w:fill="BFBFBF" w:themeFill="background1" w:themeFillShade="BF"/>
          </w:tcPr>
          <w:p w14:paraId="2044F59A" w14:textId="2322611B" w:rsidR="009F7649" w:rsidRDefault="009F7649" w:rsidP="001C581A">
            <w:r>
              <w:t>Past 30- Day use</w:t>
            </w:r>
          </w:p>
        </w:tc>
        <w:tc>
          <w:tcPr>
            <w:tcW w:w="1169" w:type="dxa"/>
            <w:shd w:val="clear" w:color="auto" w:fill="FFFFFF" w:themeFill="background1"/>
          </w:tcPr>
          <w:p w14:paraId="5EDDEE56" w14:textId="4EFAA477" w:rsidR="009F7649" w:rsidRDefault="009F7649" w:rsidP="001C581A">
            <w:r>
              <w:t>Perception of Risk</w:t>
            </w:r>
          </w:p>
        </w:tc>
        <w:tc>
          <w:tcPr>
            <w:tcW w:w="1169" w:type="dxa"/>
            <w:shd w:val="clear" w:color="auto" w:fill="BFBFBF" w:themeFill="background1" w:themeFillShade="BF"/>
          </w:tcPr>
          <w:p w14:paraId="66002799" w14:textId="43D9B307" w:rsidR="009F7649" w:rsidRDefault="009F7649" w:rsidP="001C581A">
            <w:r>
              <w:t>Past 30-Day Use</w:t>
            </w:r>
          </w:p>
        </w:tc>
        <w:tc>
          <w:tcPr>
            <w:tcW w:w="1169" w:type="dxa"/>
            <w:shd w:val="clear" w:color="auto" w:fill="FFFFFF" w:themeFill="background1"/>
          </w:tcPr>
          <w:p w14:paraId="030D4A9D" w14:textId="2904A0BA" w:rsidR="009F7649" w:rsidRDefault="009F7649" w:rsidP="001C581A">
            <w:r>
              <w:t>Perception of Risk</w:t>
            </w:r>
          </w:p>
        </w:tc>
      </w:tr>
      <w:tr w:rsidR="00E731F5" w14:paraId="637EF41E" w14:textId="77777777" w:rsidTr="00E731F5">
        <w:tc>
          <w:tcPr>
            <w:tcW w:w="2337" w:type="dxa"/>
          </w:tcPr>
          <w:p w14:paraId="41F10B08" w14:textId="2333950D" w:rsidR="009F7649" w:rsidRPr="00E731F5" w:rsidRDefault="009F7649" w:rsidP="009F7649">
            <w:pPr>
              <w:jc w:val="center"/>
              <w:rPr>
                <w:b/>
                <w:bCs/>
              </w:rPr>
            </w:pPr>
            <w:r w:rsidRPr="00E731F5">
              <w:rPr>
                <w:b/>
                <w:bCs/>
              </w:rPr>
              <w:t>2014</w:t>
            </w:r>
          </w:p>
        </w:tc>
        <w:tc>
          <w:tcPr>
            <w:tcW w:w="1168" w:type="dxa"/>
            <w:shd w:val="clear" w:color="auto" w:fill="BFBFBF" w:themeFill="background1" w:themeFillShade="BF"/>
          </w:tcPr>
          <w:p w14:paraId="23EEF847" w14:textId="18DBDCCD" w:rsidR="009F7649" w:rsidRDefault="000775D2" w:rsidP="000775D2">
            <w:pPr>
              <w:jc w:val="center"/>
            </w:pPr>
            <w:r>
              <w:t>2%</w:t>
            </w:r>
          </w:p>
        </w:tc>
        <w:tc>
          <w:tcPr>
            <w:tcW w:w="1169" w:type="dxa"/>
            <w:shd w:val="clear" w:color="auto" w:fill="FFFFFF" w:themeFill="background1"/>
          </w:tcPr>
          <w:p w14:paraId="574119AE" w14:textId="1A3DC946" w:rsidR="009F7649" w:rsidRDefault="000775D2" w:rsidP="000775D2">
            <w:pPr>
              <w:jc w:val="center"/>
            </w:pPr>
            <w:r>
              <w:t>75%</w:t>
            </w:r>
          </w:p>
        </w:tc>
        <w:tc>
          <w:tcPr>
            <w:tcW w:w="1169" w:type="dxa"/>
            <w:shd w:val="clear" w:color="auto" w:fill="BFBFBF" w:themeFill="background1" w:themeFillShade="BF"/>
          </w:tcPr>
          <w:p w14:paraId="61F36828" w14:textId="715F9A10" w:rsidR="009F7649" w:rsidRDefault="000775D2" w:rsidP="000775D2">
            <w:pPr>
              <w:jc w:val="center"/>
            </w:pPr>
            <w:r>
              <w:t>26%</w:t>
            </w:r>
          </w:p>
        </w:tc>
        <w:tc>
          <w:tcPr>
            <w:tcW w:w="1169" w:type="dxa"/>
            <w:shd w:val="clear" w:color="auto" w:fill="FFFFFF" w:themeFill="background1"/>
          </w:tcPr>
          <w:p w14:paraId="77831800" w14:textId="4FBC33A1" w:rsidR="009F7649" w:rsidRDefault="000775D2" w:rsidP="000775D2">
            <w:pPr>
              <w:jc w:val="center"/>
            </w:pPr>
            <w:r>
              <w:t>48%</w:t>
            </w:r>
          </w:p>
        </w:tc>
        <w:tc>
          <w:tcPr>
            <w:tcW w:w="1169" w:type="dxa"/>
            <w:shd w:val="clear" w:color="auto" w:fill="BFBFBF" w:themeFill="background1" w:themeFillShade="BF"/>
          </w:tcPr>
          <w:p w14:paraId="27AFC82B" w14:textId="5E8AC8DA" w:rsidR="009F7649" w:rsidRDefault="000775D2" w:rsidP="000775D2">
            <w:pPr>
              <w:jc w:val="center"/>
            </w:pPr>
            <w:r>
              <w:t>31%</w:t>
            </w:r>
          </w:p>
        </w:tc>
        <w:tc>
          <w:tcPr>
            <w:tcW w:w="1169" w:type="dxa"/>
            <w:shd w:val="clear" w:color="auto" w:fill="FFFFFF" w:themeFill="background1"/>
          </w:tcPr>
          <w:p w14:paraId="7B3CB880" w14:textId="3BB270C1" w:rsidR="009F7649" w:rsidRDefault="000775D2" w:rsidP="000775D2">
            <w:pPr>
              <w:jc w:val="center"/>
            </w:pPr>
            <w:r>
              <w:t>45%</w:t>
            </w:r>
          </w:p>
        </w:tc>
      </w:tr>
      <w:tr w:rsidR="00E731F5" w14:paraId="68CC4016" w14:textId="77777777" w:rsidTr="00E731F5">
        <w:tc>
          <w:tcPr>
            <w:tcW w:w="2337" w:type="dxa"/>
          </w:tcPr>
          <w:p w14:paraId="18681937" w14:textId="204FCBEA" w:rsidR="009F7649" w:rsidRPr="00E731F5" w:rsidRDefault="009F7649" w:rsidP="009F7649">
            <w:pPr>
              <w:jc w:val="center"/>
              <w:rPr>
                <w:b/>
                <w:bCs/>
              </w:rPr>
            </w:pPr>
            <w:r w:rsidRPr="00E731F5">
              <w:rPr>
                <w:b/>
                <w:bCs/>
              </w:rPr>
              <w:t>2016</w:t>
            </w:r>
          </w:p>
        </w:tc>
        <w:tc>
          <w:tcPr>
            <w:tcW w:w="1168" w:type="dxa"/>
            <w:shd w:val="clear" w:color="auto" w:fill="BFBFBF" w:themeFill="background1" w:themeFillShade="BF"/>
          </w:tcPr>
          <w:p w14:paraId="623BC65C" w14:textId="139C51DC" w:rsidR="009F7649" w:rsidRDefault="007058D5" w:rsidP="000775D2">
            <w:pPr>
              <w:jc w:val="center"/>
            </w:pPr>
            <w:r>
              <w:t>3%</w:t>
            </w:r>
          </w:p>
        </w:tc>
        <w:tc>
          <w:tcPr>
            <w:tcW w:w="1169" w:type="dxa"/>
            <w:shd w:val="clear" w:color="auto" w:fill="FFFFFF" w:themeFill="background1"/>
          </w:tcPr>
          <w:p w14:paraId="6C9BFF30" w14:textId="250B2BBE" w:rsidR="009F7649" w:rsidRDefault="007058D5" w:rsidP="000775D2">
            <w:pPr>
              <w:jc w:val="center"/>
            </w:pPr>
            <w:r>
              <w:t>80%</w:t>
            </w:r>
          </w:p>
        </w:tc>
        <w:tc>
          <w:tcPr>
            <w:tcW w:w="1169" w:type="dxa"/>
            <w:shd w:val="clear" w:color="auto" w:fill="BFBFBF" w:themeFill="background1" w:themeFillShade="BF"/>
          </w:tcPr>
          <w:p w14:paraId="0A6FE643" w14:textId="08EF0D71" w:rsidR="009F7649" w:rsidRDefault="000775D2" w:rsidP="000775D2">
            <w:pPr>
              <w:jc w:val="center"/>
            </w:pPr>
            <w:r>
              <w:t>21%</w:t>
            </w:r>
          </w:p>
        </w:tc>
        <w:tc>
          <w:tcPr>
            <w:tcW w:w="1169" w:type="dxa"/>
            <w:shd w:val="clear" w:color="auto" w:fill="FFFFFF" w:themeFill="background1"/>
          </w:tcPr>
          <w:p w14:paraId="3799B4B9" w14:textId="44C031D5" w:rsidR="009F7649" w:rsidRDefault="000775D2" w:rsidP="000775D2">
            <w:pPr>
              <w:jc w:val="center"/>
            </w:pPr>
            <w:r>
              <w:t>45%</w:t>
            </w:r>
          </w:p>
        </w:tc>
        <w:tc>
          <w:tcPr>
            <w:tcW w:w="1169" w:type="dxa"/>
            <w:shd w:val="clear" w:color="auto" w:fill="BFBFBF" w:themeFill="background1" w:themeFillShade="BF"/>
          </w:tcPr>
          <w:p w14:paraId="3689D149" w14:textId="3DA4B7C0" w:rsidR="009F7649" w:rsidRDefault="000775D2" w:rsidP="000775D2">
            <w:pPr>
              <w:jc w:val="center"/>
            </w:pPr>
            <w:r>
              <w:t>31%</w:t>
            </w:r>
          </w:p>
        </w:tc>
        <w:tc>
          <w:tcPr>
            <w:tcW w:w="1169" w:type="dxa"/>
            <w:shd w:val="clear" w:color="auto" w:fill="FFFFFF" w:themeFill="background1"/>
          </w:tcPr>
          <w:p w14:paraId="1EB6E06C" w14:textId="61084444" w:rsidR="009F7649" w:rsidRDefault="000775D2" w:rsidP="000775D2">
            <w:pPr>
              <w:jc w:val="center"/>
            </w:pPr>
            <w:r>
              <w:t>32%</w:t>
            </w:r>
          </w:p>
        </w:tc>
      </w:tr>
      <w:tr w:rsidR="00E731F5" w14:paraId="67B90D8D" w14:textId="77777777" w:rsidTr="00E731F5">
        <w:tc>
          <w:tcPr>
            <w:tcW w:w="2337" w:type="dxa"/>
          </w:tcPr>
          <w:p w14:paraId="7EC37650" w14:textId="6C66B5FF" w:rsidR="009F7649" w:rsidRPr="00E731F5" w:rsidRDefault="009F7649" w:rsidP="009F7649">
            <w:pPr>
              <w:jc w:val="center"/>
              <w:rPr>
                <w:b/>
                <w:bCs/>
              </w:rPr>
            </w:pPr>
            <w:r w:rsidRPr="00E731F5">
              <w:rPr>
                <w:b/>
                <w:bCs/>
              </w:rPr>
              <w:t>2019</w:t>
            </w:r>
          </w:p>
        </w:tc>
        <w:tc>
          <w:tcPr>
            <w:tcW w:w="1168" w:type="dxa"/>
            <w:shd w:val="clear" w:color="auto" w:fill="BFBFBF" w:themeFill="background1" w:themeFillShade="BF"/>
          </w:tcPr>
          <w:p w14:paraId="7D3A11E4" w14:textId="6864F5D9" w:rsidR="009F7649" w:rsidRDefault="000775D2" w:rsidP="000775D2">
            <w:pPr>
              <w:jc w:val="center"/>
            </w:pPr>
            <w:r>
              <w:t>3%</w:t>
            </w:r>
          </w:p>
        </w:tc>
        <w:tc>
          <w:tcPr>
            <w:tcW w:w="1169" w:type="dxa"/>
            <w:shd w:val="clear" w:color="auto" w:fill="FFFFFF" w:themeFill="background1"/>
          </w:tcPr>
          <w:p w14:paraId="2B9ED19A" w14:textId="2EDC74EE" w:rsidR="009F7649" w:rsidRDefault="000775D2" w:rsidP="000775D2">
            <w:pPr>
              <w:jc w:val="center"/>
            </w:pPr>
            <w:r>
              <w:t>83%</w:t>
            </w:r>
          </w:p>
        </w:tc>
        <w:tc>
          <w:tcPr>
            <w:tcW w:w="1169" w:type="dxa"/>
            <w:shd w:val="clear" w:color="auto" w:fill="BFBFBF" w:themeFill="background1" w:themeFillShade="BF"/>
          </w:tcPr>
          <w:p w14:paraId="227B2628" w14:textId="20BA2229" w:rsidR="009F7649" w:rsidRDefault="000775D2" w:rsidP="000775D2">
            <w:pPr>
              <w:jc w:val="center"/>
            </w:pPr>
            <w:r>
              <w:t>16%</w:t>
            </w:r>
          </w:p>
        </w:tc>
        <w:tc>
          <w:tcPr>
            <w:tcW w:w="1169" w:type="dxa"/>
            <w:shd w:val="clear" w:color="auto" w:fill="FFFFFF" w:themeFill="background1"/>
          </w:tcPr>
          <w:p w14:paraId="06DBC236" w14:textId="0DC022C9" w:rsidR="009F7649" w:rsidRDefault="000775D2" w:rsidP="000775D2">
            <w:pPr>
              <w:jc w:val="center"/>
            </w:pPr>
            <w:r>
              <w:t>53%</w:t>
            </w:r>
          </w:p>
        </w:tc>
        <w:tc>
          <w:tcPr>
            <w:tcW w:w="1169" w:type="dxa"/>
            <w:shd w:val="clear" w:color="auto" w:fill="BFBFBF" w:themeFill="background1" w:themeFillShade="BF"/>
          </w:tcPr>
          <w:p w14:paraId="6A760212" w14:textId="00DF6784" w:rsidR="009F7649" w:rsidRDefault="000775D2" w:rsidP="000775D2">
            <w:pPr>
              <w:jc w:val="center"/>
            </w:pPr>
            <w:r>
              <w:t>30%</w:t>
            </w:r>
          </w:p>
        </w:tc>
        <w:tc>
          <w:tcPr>
            <w:tcW w:w="1169" w:type="dxa"/>
            <w:shd w:val="clear" w:color="auto" w:fill="FFFFFF" w:themeFill="background1"/>
          </w:tcPr>
          <w:p w14:paraId="37B64D1C" w14:textId="69FAE4CF" w:rsidR="009F7649" w:rsidRDefault="000775D2" w:rsidP="000775D2">
            <w:pPr>
              <w:jc w:val="center"/>
            </w:pPr>
            <w:r>
              <w:t>33%</w:t>
            </w:r>
          </w:p>
        </w:tc>
      </w:tr>
      <w:tr w:rsidR="009F7649" w14:paraId="78C8ABCF" w14:textId="77777777" w:rsidTr="00E731F5">
        <w:tc>
          <w:tcPr>
            <w:tcW w:w="2337" w:type="dxa"/>
          </w:tcPr>
          <w:p w14:paraId="29CACA6D" w14:textId="07A82825" w:rsidR="009F7649" w:rsidRPr="00E731F5" w:rsidRDefault="009F7649" w:rsidP="009F7649">
            <w:pPr>
              <w:jc w:val="center"/>
              <w:rPr>
                <w:b/>
                <w:bCs/>
              </w:rPr>
            </w:pPr>
            <w:r w:rsidRPr="00E731F5">
              <w:rPr>
                <w:b/>
                <w:bCs/>
              </w:rPr>
              <w:t>2021</w:t>
            </w:r>
            <w:r w:rsidR="00596FDA" w:rsidRPr="00E731F5">
              <w:rPr>
                <w:b/>
                <w:bCs/>
              </w:rPr>
              <w:t>*</w:t>
            </w:r>
          </w:p>
        </w:tc>
        <w:tc>
          <w:tcPr>
            <w:tcW w:w="1168" w:type="dxa"/>
            <w:shd w:val="clear" w:color="auto" w:fill="BFBFBF" w:themeFill="background1" w:themeFillShade="BF"/>
          </w:tcPr>
          <w:p w14:paraId="63C4897E" w14:textId="0CCF7A52" w:rsidR="009F7649" w:rsidRDefault="00596FDA" w:rsidP="000775D2">
            <w:pPr>
              <w:jc w:val="center"/>
            </w:pPr>
            <w:r>
              <w:t>2%</w:t>
            </w:r>
          </w:p>
        </w:tc>
        <w:tc>
          <w:tcPr>
            <w:tcW w:w="1169" w:type="dxa"/>
            <w:shd w:val="clear" w:color="auto" w:fill="FFFFFF" w:themeFill="background1"/>
          </w:tcPr>
          <w:p w14:paraId="05DB9512" w14:textId="680DD0D7" w:rsidR="009F7649" w:rsidRDefault="00596FDA" w:rsidP="000775D2">
            <w:pPr>
              <w:jc w:val="center"/>
            </w:pPr>
            <w:r>
              <w:t>75%</w:t>
            </w:r>
          </w:p>
        </w:tc>
        <w:tc>
          <w:tcPr>
            <w:tcW w:w="1169" w:type="dxa"/>
            <w:shd w:val="clear" w:color="auto" w:fill="BFBFBF" w:themeFill="background1" w:themeFillShade="BF"/>
          </w:tcPr>
          <w:p w14:paraId="53F29566" w14:textId="6AAED581" w:rsidR="009F7649" w:rsidRDefault="00596FDA" w:rsidP="000775D2">
            <w:pPr>
              <w:jc w:val="center"/>
            </w:pPr>
            <w:r>
              <w:t>5%</w:t>
            </w:r>
          </w:p>
        </w:tc>
        <w:tc>
          <w:tcPr>
            <w:tcW w:w="1169" w:type="dxa"/>
            <w:shd w:val="clear" w:color="auto" w:fill="FFFFFF" w:themeFill="background1"/>
          </w:tcPr>
          <w:p w14:paraId="1C5A5D4C" w14:textId="22F4F06D" w:rsidR="009F7649" w:rsidRDefault="00596FDA" w:rsidP="000775D2">
            <w:pPr>
              <w:jc w:val="center"/>
            </w:pPr>
            <w:r>
              <w:t>57%</w:t>
            </w:r>
          </w:p>
        </w:tc>
        <w:tc>
          <w:tcPr>
            <w:tcW w:w="1169" w:type="dxa"/>
            <w:shd w:val="clear" w:color="auto" w:fill="BFBFBF" w:themeFill="background1" w:themeFillShade="BF"/>
          </w:tcPr>
          <w:p w14:paraId="51B9EE05" w14:textId="172C89D9" w:rsidR="009F7649" w:rsidRDefault="00596FDA" w:rsidP="000775D2">
            <w:pPr>
              <w:jc w:val="center"/>
            </w:pPr>
            <w:r>
              <w:t>14%</w:t>
            </w:r>
          </w:p>
        </w:tc>
        <w:tc>
          <w:tcPr>
            <w:tcW w:w="1169" w:type="dxa"/>
            <w:shd w:val="clear" w:color="auto" w:fill="FFFFFF" w:themeFill="background1"/>
          </w:tcPr>
          <w:p w14:paraId="64ED259C" w14:textId="4054936A" w:rsidR="009F7649" w:rsidRDefault="00596FDA" w:rsidP="000775D2">
            <w:pPr>
              <w:jc w:val="center"/>
            </w:pPr>
            <w:r>
              <w:t>48%</w:t>
            </w:r>
          </w:p>
        </w:tc>
      </w:tr>
    </w:tbl>
    <w:p w14:paraId="4DB133F5" w14:textId="01790682" w:rsidR="00016C3B" w:rsidRDefault="00596FDA" w:rsidP="001C581A">
      <w:pPr>
        <w:spacing w:after="0"/>
      </w:pPr>
      <w:r>
        <w:t xml:space="preserve">*Data collected during </w:t>
      </w:r>
      <w:r w:rsidR="005D5559">
        <w:t xml:space="preserve">Covid-19 </w:t>
      </w:r>
      <w:r>
        <w:t>pandemic, spring 2021</w:t>
      </w:r>
    </w:p>
    <w:p w14:paraId="12ACE895" w14:textId="653DE323" w:rsidR="00FB538A" w:rsidRDefault="00FB538A" w:rsidP="001C581A">
      <w:pPr>
        <w:spacing w:after="0"/>
      </w:pPr>
    </w:p>
    <w:p w14:paraId="41CADFF2" w14:textId="77777777" w:rsidR="00401137" w:rsidRDefault="00401137" w:rsidP="005A5998">
      <w:pPr>
        <w:spacing w:after="0"/>
        <w:rPr>
          <w:b/>
          <w:bCs/>
          <w:u w:val="single"/>
        </w:rPr>
      </w:pPr>
    </w:p>
    <w:p w14:paraId="7BF887E5" w14:textId="017A097E" w:rsidR="00C2495B" w:rsidRPr="00C2495B" w:rsidRDefault="00C2495B" w:rsidP="005A5998">
      <w:pPr>
        <w:spacing w:after="0"/>
        <w:rPr>
          <w:b/>
          <w:bCs/>
          <w:u w:val="single"/>
        </w:rPr>
      </w:pPr>
      <w:r w:rsidRPr="00C2495B">
        <w:rPr>
          <w:b/>
          <w:bCs/>
          <w:u w:val="single"/>
        </w:rPr>
        <w:t>FOR THE TOWN’S CONSIDERATION</w:t>
      </w:r>
    </w:p>
    <w:p w14:paraId="6204B50A" w14:textId="3AF4DA0C" w:rsidR="00A33FEA" w:rsidRPr="00566F34" w:rsidRDefault="00A33FEA" w:rsidP="005A5998">
      <w:pPr>
        <w:spacing w:after="0"/>
        <w:rPr>
          <w:b/>
          <w:bCs/>
        </w:rPr>
      </w:pPr>
      <w:r w:rsidRPr="00566F34">
        <w:rPr>
          <w:b/>
          <w:bCs/>
        </w:rPr>
        <w:t>Recommended Community Level Policies:</w:t>
      </w:r>
    </w:p>
    <w:p w14:paraId="5B8E50CF" w14:textId="47E2E327" w:rsidR="002C4DB1" w:rsidRDefault="002C4DB1" w:rsidP="005A5998">
      <w:pPr>
        <w:spacing w:after="0"/>
      </w:pPr>
      <w:r>
        <w:t>According to SAMHSA, community risk factors for youth marijuana use include:</w:t>
      </w:r>
    </w:p>
    <w:p w14:paraId="6631324C" w14:textId="76B40B6D" w:rsidR="002C4DB1" w:rsidRDefault="002C4DB1" w:rsidP="000C3CE9">
      <w:pPr>
        <w:pStyle w:val="ListParagraph"/>
        <w:numPr>
          <w:ilvl w:val="0"/>
          <w:numId w:val="2"/>
        </w:numPr>
        <w:spacing w:after="0"/>
      </w:pPr>
      <w:r>
        <w:t>Widespread availability of marijuana</w:t>
      </w:r>
    </w:p>
    <w:p w14:paraId="742744EA" w14:textId="7B9F7343" w:rsidR="002C4DB1" w:rsidRDefault="002C4DB1" w:rsidP="000C3CE9">
      <w:pPr>
        <w:pStyle w:val="ListParagraph"/>
        <w:numPr>
          <w:ilvl w:val="0"/>
          <w:numId w:val="2"/>
        </w:numPr>
        <w:spacing w:after="0"/>
      </w:pPr>
      <w:r>
        <w:t>Greater marijuana outlet density</w:t>
      </w:r>
    </w:p>
    <w:p w14:paraId="2F15D105" w14:textId="28405783" w:rsidR="002C4DB1" w:rsidRDefault="002C4DB1" w:rsidP="000C3CE9">
      <w:pPr>
        <w:pStyle w:val="ListParagraph"/>
        <w:numPr>
          <w:ilvl w:val="0"/>
          <w:numId w:val="2"/>
        </w:numPr>
        <w:spacing w:after="0"/>
      </w:pPr>
      <w:r>
        <w:t>More days and hours of marijuana sales</w:t>
      </w:r>
    </w:p>
    <w:p w14:paraId="476A0319" w14:textId="3A2958F5" w:rsidR="002C4DB1" w:rsidRDefault="002C4DB1" w:rsidP="000C3CE9">
      <w:pPr>
        <w:pStyle w:val="ListParagraph"/>
        <w:numPr>
          <w:ilvl w:val="0"/>
          <w:numId w:val="2"/>
        </w:numPr>
        <w:spacing w:after="0"/>
      </w:pPr>
      <w:r>
        <w:t>Exposure to marijuana marketing</w:t>
      </w:r>
    </w:p>
    <w:p w14:paraId="5F468279" w14:textId="7F3E31CA" w:rsidR="002C4DB1" w:rsidRDefault="002C4DB1" w:rsidP="000C3CE9">
      <w:pPr>
        <w:pStyle w:val="ListParagraph"/>
        <w:numPr>
          <w:ilvl w:val="0"/>
          <w:numId w:val="2"/>
        </w:numPr>
        <w:spacing w:after="0"/>
      </w:pPr>
      <w:r>
        <w:t>Youth liking or following marijuana businesses on social media</w:t>
      </w:r>
    </w:p>
    <w:p w14:paraId="1008FEF5" w14:textId="1527B2D4" w:rsidR="002C4DB1" w:rsidRDefault="002C4DB1" w:rsidP="000C3CE9">
      <w:pPr>
        <w:pStyle w:val="ListParagraph"/>
        <w:numPr>
          <w:ilvl w:val="0"/>
          <w:numId w:val="2"/>
        </w:numPr>
        <w:spacing w:after="0"/>
      </w:pPr>
      <w:r>
        <w:t xml:space="preserve">Owning </w:t>
      </w:r>
      <w:r w:rsidR="00401137">
        <w:t>marijuana</w:t>
      </w:r>
      <w:r>
        <w:t xml:space="preserve">-branded merchandise or having a favorite </w:t>
      </w:r>
      <w:r w:rsidR="00401137">
        <w:t>marijuana</w:t>
      </w:r>
      <w:r>
        <w:t xml:space="preserve"> brand</w:t>
      </w:r>
    </w:p>
    <w:p w14:paraId="7EA7BADF" w14:textId="15538473" w:rsidR="000C3CE9" w:rsidRDefault="002C4DB1" w:rsidP="000C3CE9">
      <w:pPr>
        <w:pStyle w:val="ListParagraph"/>
        <w:numPr>
          <w:ilvl w:val="0"/>
          <w:numId w:val="2"/>
        </w:numPr>
        <w:spacing w:after="0"/>
      </w:pPr>
      <w:r>
        <w:t>New marijuana products that attract youth</w:t>
      </w:r>
    </w:p>
    <w:p w14:paraId="400CF05E" w14:textId="65AE649F" w:rsidR="000C3CE9" w:rsidRDefault="000C3CE9" w:rsidP="000C3CE9">
      <w:pPr>
        <w:spacing w:after="0"/>
      </w:pPr>
    </w:p>
    <w:p w14:paraId="6E571647" w14:textId="1529C740" w:rsidR="000C3CE9" w:rsidRDefault="00AA3321" w:rsidP="000C3CE9">
      <w:pPr>
        <w:spacing w:after="0"/>
      </w:pPr>
      <w:r>
        <w:t>SAMHSA recommends the following community strategies to prevent youth use:</w:t>
      </w:r>
    </w:p>
    <w:p w14:paraId="7ECD99D8" w14:textId="26360370" w:rsidR="00AA3321" w:rsidRDefault="00AA3321" w:rsidP="00AA3321">
      <w:pPr>
        <w:pStyle w:val="ListParagraph"/>
        <w:numPr>
          <w:ilvl w:val="0"/>
          <w:numId w:val="3"/>
        </w:numPr>
        <w:spacing w:after="0"/>
      </w:pPr>
      <w:r>
        <w:t xml:space="preserve">Regulation of the price of marijuana: a) increasing taxes based on weight/amount, THC content, or product price, and b) banning price promotions such as coupons, two for one </w:t>
      </w:r>
      <w:proofErr w:type="gramStart"/>
      <w:r>
        <w:t>deals</w:t>
      </w:r>
      <w:proofErr w:type="gramEnd"/>
      <w:r w:rsidR="00B9126E">
        <w:t>, bulk purchases, sample give aways,</w:t>
      </w:r>
      <w:r>
        <w:t xml:space="preserve"> and happy hours.</w:t>
      </w:r>
    </w:p>
    <w:p w14:paraId="169BE7B8" w14:textId="23107019" w:rsidR="00AA3321" w:rsidRDefault="00AA3321" w:rsidP="00AA3321">
      <w:pPr>
        <w:pStyle w:val="ListParagraph"/>
        <w:numPr>
          <w:ilvl w:val="0"/>
          <w:numId w:val="3"/>
        </w:numPr>
        <w:spacing w:after="0"/>
      </w:pPr>
      <w:r>
        <w:lastRenderedPageBreak/>
        <w:t>Regulation of marijuana retail outlets: a) limiting the number and location of retailers through licensing or zoning, b) limit hours/days of sale</w:t>
      </w:r>
      <w:r w:rsidR="00EE7928">
        <w:t>, c) banning those under the age of 21 in marijuana businesses, d) regulating where marijuana and related products can be sold</w:t>
      </w:r>
      <w:r w:rsidR="00A37163">
        <w:t xml:space="preserve">, including </w:t>
      </w:r>
      <w:r w:rsidR="00DA271B">
        <w:t xml:space="preserve">using adult-only stores for marijuana sales and prohibiting the use of </w:t>
      </w:r>
      <w:r w:rsidR="00A37163">
        <w:t>delivery services</w:t>
      </w:r>
    </w:p>
    <w:p w14:paraId="72E0AC0B" w14:textId="2476608D" w:rsidR="00EE7928" w:rsidRDefault="00EE7928" w:rsidP="00AA3321">
      <w:pPr>
        <w:pStyle w:val="ListParagraph"/>
        <w:numPr>
          <w:ilvl w:val="0"/>
          <w:numId w:val="3"/>
        </w:numPr>
        <w:spacing w:after="0"/>
      </w:pPr>
      <w:r>
        <w:t>Regulation of marijuana product manufacturing and packaging: a) banning marijuana products with added synthetic flavors and odors, b) banning THC-infused edibl</w:t>
      </w:r>
      <w:r w:rsidR="00DA271B">
        <w:t>e</w:t>
      </w:r>
      <w:r>
        <w:t>s like</w:t>
      </w:r>
      <w:r w:rsidR="00DA271B">
        <w:t>ly</w:t>
      </w:r>
      <w:r>
        <w:t xml:space="preserve"> to attract children and youth, such as candies, cookies, and beverages</w:t>
      </w:r>
      <w:r w:rsidR="004C79AF">
        <w:t xml:space="preserve">, c) banning THC infused alcohol and tobacco products, d) requiring </w:t>
      </w:r>
      <w:r w:rsidR="007D3A97">
        <w:t xml:space="preserve">child-proof packaging, </w:t>
      </w:r>
      <w:r w:rsidR="004C79AF">
        <w:t>transparency on product labels, including THC and CBD content and ingredients, e) require prominent graphic marijuana warning labels with varied and rotating messaging</w:t>
      </w:r>
    </w:p>
    <w:p w14:paraId="226886EE" w14:textId="05D5EC03" w:rsidR="004C79AF" w:rsidRDefault="004C79AF" w:rsidP="00AA3321">
      <w:pPr>
        <w:pStyle w:val="ListParagraph"/>
        <w:numPr>
          <w:ilvl w:val="0"/>
          <w:numId w:val="3"/>
        </w:numPr>
        <w:spacing w:after="0"/>
      </w:pPr>
      <w:r>
        <w:t>Limitations on marijuana advertising and marketing: a) banning marijuana advertising on television, radio, billboards, and social media, b) if not banned, limiting advertising with youth audiences, c) removing marketing, promotion, and advertising dollars from admissible business expenses for state income</w:t>
      </w:r>
      <w:r w:rsidR="00BD3833">
        <w:t xml:space="preserve"> tax calculations, d) funding public health media campaigns, and e) prohibiting health and therapeutic claims </w:t>
      </w:r>
    </w:p>
    <w:p w14:paraId="065C627F" w14:textId="77777777" w:rsidR="000117BB" w:rsidRDefault="000117BB"/>
    <w:p w14:paraId="6F6C267B" w14:textId="77777777" w:rsidR="00783B8A" w:rsidRPr="00783B8A" w:rsidRDefault="00783B8A" w:rsidP="000117BB">
      <w:pPr>
        <w:spacing w:after="0"/>
        <w:rPr>
          <w:b/>
          <w:bCs/>
        </w:rPr>
      </w:pPr>
      <w:r w:rsidRPr="00783B8A">
        <w:rPr>
          <w:b/>
          <w:bCs/>
        </w:rPr>
        <w:t>Other Concerns:</w:t>
      </w:r>
    </w:p>
    <w:p w14:paraId="20E58E8B" w14:textId="5CD1683E" w:rsidR="000117BB" w:rsidRDefault="00783B8A" w:rsidP="000117BB">
      <w:pPr>
        <w:spacing w:after="0"/>
      </w:pPr>
      <w:r>
        <w:t>Potential t</w:t>
      </w:r>
      <w:r w:rsidR="00FF7793">
        <w:t xml:space="preserve">ax revenue from </w:t>
      </w:r>
      <w:r w:rsidR="00225B5E">
        <w:t>cannabis</w:t>
      </w:r>
      <w:r w:rsidR="00FF7793">
        <w:t xml:space="preserve"> sales </w:t>
      </w:r>
      <w:r>
        <w:t xml:space="preserve">will </w:t>
      </w:r>
      <w:r w:rsidR="00FF7793">
        <w:t xml:space="preserve">not cover the costs of the negative impact associated with commercial </w:t>
      </w:r>
      <w:r w:rsidR="00225B5E">
        <w:t>cannabis</w:t>
      </w:r>
      <w:r w:rsidR="00FF7793">
        <w:t xml:space="preserve"> in the community, such as increased youth access, increased addiction</w:t>
      </w:r>
      <w:r w:rsidR="0052268A">
        <w:t xml:space="preserve"> among youth and adults, increased likelihood of unsafe driving conditions</w:t>
      </w:r>
      <w:r w:rsidR="007207CF">
        <w:t xml:space="preserve"> to name a few.</w:t>
      </w:r>
    </w:p>
    <w:p w14:paraId="40E93821" w14:textId="4E1B1777" w:rsidR="007207CF" w:rsidRDefault="007207CF" w:rsidP="000117BB">
      <w:pPr>
        <w:spacing w:after="0"/>
      </w:pPr>
    </w:p>
    <w:p w14:paraId="583C9AF7" w14:textId="6F943461" w:rsidR="00DF5941" w:rsidRDefault="005C6238" w:rsidP="000117BB">
      <w:pPr>
        <w:spacing w:after="0"/>
      </w:pPr>
      <w:r>
        <w:t>Cannabis</w:t>
      </w:r>
      <w:r w:rsidR="00A70CBF">
        <w:t xml:space="preserve"> is a cash business</w:t>
      </w:r>
      <w:r w:rsidR="00783B8A">
        <w:t xml:space="preserve"> because its use and sale remain illegal at the federal level</w:t>
      </w:r>
      <w:r w:rsidR="00A70CBF">
        <w:t xml:space="preserve">; therefore, </w:t>
      </w:r>
      <w:r w:rsidR="00783B8A">
        <w:t xml:space="preserve">there is </w:t>
      </w:r>
      <w:r w:rsidR="00A70CBF">
        <w:t>increas</w:t>
      </w:r>
      <w:r w:rsidR="00783B8A">
        <w:t>ed</w:t>
      </w:r>
      <w:r w:rsidR="00A70CBF">
        <w:t xml:space="preserve"> opportunity for crime</w:t>
      </w:r>
      <w:r w:rsidR="0046123F">
        <w:t xml:space="preserve">.  As a cash-based business there could be </w:t>
      </w:r>
      <w:r w:rsidR="00783B8A">
        <w:t xml:space="preserve">a </w:t>
      </w:r>
      <w:r w:rsidR="00A70CBF">
        <w:t xml:space="preserve">lack of accurate accounting </w:t>
      </w:r>
      <w:r w:rsidR="00D97A00">
        <w:t xml:space="preserve">for tax </w:t>
      </w:r>
      <w:r w:rsidR="00A70CBF">
        <w:t>revenue purposes.</w:t>
      </w:r>
      <w:r w:rsidR="004E6CD8">
        <w:t xml:space="preserve"> </w:t>
      </w:r>
    </w:p>
    <w:p w14:paraId="30921453" w14:textId="6F228513" w:rsidR="00756907" w:rsidRDefault="00756907" w:rsidP="000117BB">
      <w:pPr>
        <w:spacing w:after="0"/>
      </w:pPr>
    </w:p>
    <w:p w14:paraId="1A580A56" w14:textId="4F527814" w:rsidR="00756907" w:rsidRPr="00592873" w:rsidRDefault="00756907" w:rsidP="000117BB">
      <w:pPr>
        <w:spacing w:after="0"/>
        <w:rPr>
          <w:b/>
          <w:bCs/>
        </w:rPr>
      </w:pPr>
      <w:r w:rsidRPr="00592873">
        <w:rPr>
          <w:b/>
          <w:bCs/>
        </w:rPr>
        <w:t xml:space="preserve">Public Location for </w:t>
      </w:r>
      <w:r w:rsidR="005C6238">
        <w:rPr>
          <w:b/>
          <w:bCs/>
        </w:rPr>
        <w:t>Cannabis</w:t>
      </w:r>
      <w:r w:rsidRPr="00592873">
        <w:rPr>
          <w:b/>
          <w:bCs/>
        </w:rPr>
        <w:t xml:space="preserve"> Use:</w:t>
      </w:r>
    </w:p>
    <w:p w14:paraId="696CE630" w14:textId="44747699" w:rsidR="00756907" w:rsidRPr="00BA31A9" w:rsidRDefault="00756907" w:rsidP="000117BB">
      <w:pPr>
        <w:spacing w:after="0"/>
      </w:pPr>
      <w:r w:rsidRPr="00BA31A9">
        <w:t xml:space="preserve">The new CT Cannabis law </w:t>
      </w:r>
      <w:r w:rsidR="006659D4" w:rsidRPr="00BA31A9">
        <w:t>states “For municipalities with more than 50,000 people, if they regulate the public use of cannabis, the regulations must designate a location in the municipality where public consumption is allowed.”</w:t>
      </w:r>
      <w:r w:rsidR="00C57584" w:rsidRPr="00BA31A9">
        <w:t>(1</w:t>
      </w:r>
      <w:r w:rsidR="00176922" w:rsidRPr="00BA31A9">
        <w:t>2</w:t>
      </w:r>
      <w:r w:rsidR="00C57584" w:rsidRPr="00BA31A9">
        <w:t>)</w:t>
      </w:r>
      <w:r w:rsidR="00592873" w:rsidRPr="00BA31A9">
        <w:t xml:space="preserve"> </w:t>
      </w:r>
      <w:r w:rsidR="00F76767" w:rsidRPr="00BA31A9">
        <w:t xml:space="preserve"> </w:t>
      </w:r>
      <w:r w:rsidR="00F9416C" w:rsidRPr="00BA31A9">
        <w:rPr>
          <w:rFonts w:cstheme="minorHAnsi"/>
          <w:shd w:val="clear" w:color="auto" w:fill="FFFFFF"/>
        </w:rPr>
        <w:t xml:space="preserve">Fairfield CARES urges the town to </w:t>
      </w:r>
      <w:r w:rsidR="00C52459" w:rsidRPr="00BA31A9">
        <w:rPr>
          <w:rFonts w:cstheme="minorHAnsi"/>
          <w:shd w:val="clear" w:color="auto" w:fill="FFFFFF"/>
        </w:rPr>
        <w:t xml:space="preserve">clearly communicate and inform its residents and visitors that </w:t>
      </w:r>
      <w:r w:rsidR="00F9416C" w:rsidRPr="00BA31A9">
        <w:rPr>
          <w:rFonts w:cstheme="minorHAnsi"/>
          <w:shd w:val="clear" w:color="auto" w:fill="FFFFFF"/>
        </w:rPr>
        <w:t xml:space="preserve">use of </w:t>
      </w:r>
      <w:r w:rsidR="00C52459" w:rsidRPr="00BA31A9">
        <w:rPr>
          <w:rFonts w:cstheme="minorHAnsi"/>
          <w:shd w:val="clear" w:color="auto" w:fill="FFFFFF"/>
        </w:rPr>
        <w:t xml:space="preserve">any </w:t>
      </w:r>
      <w:r w:rsidR="00176922" w:rsidRPr="00BA31A9">
        <w:rPr>
          <w:rFonts w:cstheme="minorHAnsi"/>
          <w:shd w:val="clear" w:color="auto" w:fill="FFFFFF"/>
        </w:rPr>
        <w:t>cannabis</w:t>
      </w:r>
      <w:r w:rsidR="00F9416C" w:rsidRPr="00BA31A9">
        <w:rPr>
          <w:rFonts w:cstheme="minorHAnsi"/>
          <w:shd w:val="clear" w:color="auto" w:fill="FFFFFF"/>
        </w:rPr>
        <w:t xml:space="preserve"> </w:t>
      </w:r>
      <w:r w:rsidR="00C52459" w:rsidRPr="00BA31A9">
        <w:rPr>
          <w:rFonts w:cstheme="minorHAnsi"/>
          <w:shd w:val="clear" w:color="auto" w:fill="FFFFFF"/>
        </w:rPr>
        <w:t xml:space="preserve">product is prohibited </w:t>
      </w:r>
      <w:r w:rsidR="00F9416C" w:rsidRPr="00BA31A9">
        <w:rPr>
          <w:rFonts w:cstheme="minorHAnsi"/>
          <w:shd w:val="clear" w:color="auto" w:fill="FFFFFF"/>
        </w:rPr>
        <w:t>on all public property</w:t>
      </w:r>
      <w:r w:rsidR="00176922" w:rsidRPr="00BA31A9">
        <w:rPr>
          <w:rFonts w:cstheme="minorHAnsi"/>
          <w:shd w:val="clear" w:color="auto" w:fill="FFFFFF"/>
        </w:rPr>
        <w:t>, owned or controlled by the municipality,</w:t>
      </w:r>
      <w:r w:rsidR="00F9416C" w:rsidRPr="00BA31A9">
        <w:rPr>
          <w:rFonts w:cstheme="minorHAnsi"/>
          <w:shd w:val="clear" w:color="auto" w:fill="FFFFFF"/>
        </w:rPr>
        <w:t xml:space="preserve"> with the exception of the designated location for marijuana use.  That location should not be in a residential neighborhood, nor frequented by or visible to those under the age of 21. </w:t>
      </w:r>
      <w:r w:rsidR="0055782F" w:rsidRPr="00BA31A9">
        <w:rPr>
          <w:rFonts w:cstheme="minorHAnsi"/>
          <w:shd w:val="clear" w:color="auto" w:fill="FFFFFF"/>
        </w:rPr>
        <w:t xml:space="preserve"> </w:t>
      </w:r>
      <w:r w:rsidR="00F9416C" w:rsidRPr="00BA31A9">
        <w:rPr>
          <w:rFonts w:cstheme="minorHAnsi"/>
          <w:shd w:val="clear" w:color="auto" w:fill="FFFFFF"/>
        </w:rPr>
        <w:t xml:space="preserve">Please keep in mind that any location should minimize exposure to secondhand </w:t>
      </w:r>
      <w:r w:rsidR="00176922" w:rsidRPr="00BA31A9">
        <w:rPr>
          <w:rFonts w:cstheme="minorHAnsi"/>
          <w:shd w:val="clear" w:color="auto" w:fill="FFFFFF"/>
        </w:rPr>
        <w:t xml:space="preserve">cannabis/ </w:t>
      </w:r>
      <w:r w:rsidR="00F9416C" w:rsidRPr="00BA31A9">
        <w:rPr>
          <w:rFonts w:cstheme="minorHAnsi"/>
          <w:shd w:val="clear" w:color="auto" w:fill="FFFFFF"/>
        </w:rPr>
        <w:t xml:space="preserve">marijuana smoke. </w:t>
      </w:r>
      <w:r w:rsidR="00C52459" w:rsidRPr="00BA31A9">
        <w:rPr>
          <w:rFonts w:cstheme="minorHAnsi"/>
          <w:shd w:val="clear" w:color="auto" w:fill="FFFFFF"/>
        </w:rPr>
        <w:t xml:space="preserve"> </w:t>
      </w:r>
      <w:r w:rsidR="00F9416C" w:rsidRPr="00BA31A9">
        <w:rPr>
          <w:rFonts w:cstheme="minorHAnsi"/>
          <w:shd w:val="clear" w:color="auto" w:fill="FFFFFF"/>
        </w:rPr>
        <w:t>In comparison to cigarette</w:t>
      </w:r>
      <w:r w:rsidR="004818D6" w:rsidRPr="00BA31A9">
        <w:rPr>
          <w:rFonts w:cstheme="minorHAnsi"/>
          <w:shd w:val="clear" w:color="auto" w:fill="FFFFFF"/>
        </w:rPr>
        <w:t>s</w:t>
      </w:r>
      <w:r w:rsidR="00F9416C" w:rsidRPr="00BA31A9">
        <w:rPr>
          <w:rFonts w:cstheme="minorHAnsi"/>
          <w:shd w:val="clear" w:color="auto" w:fill="FFFFFF"/>
        </w:rPr>
        <w:t>, marijuana</w:t>
      </w:r>
      <w:r w:rsidR="00A55CC8" w:rsidRPr="00BA31A9">
        <w:rPr>
          <w:rFonts w:cstheme="minorHAnsi"/>
          <w:shd w:val="clear" w:color="auto" w:fill="FFFFFF"/>
        </w:rPr>
        <w:t xml:space="preserve"> smokers are inhaling</w:t>
      </w:r>
      <w:r w:rsidR="00F9416C" w:rsidRPr="00BA31A9">
        <w:rPr>
          <w:rFonts w:cstheme="minorHAnsi"/>
          <w:shd w:val="clear" w:color="auto" w:fill="FFFFFF"/>
        </w:rPr>
        <w:t xml:space="preserve"> 50% more </w:t>
      </w:r>
      <w:proofErr w:type="spellStart"/>
      <w:r w:rsidR="00F9416C" w:rsidRPr="00BA31A9">
        <w:rPr>
          <w:rFonts w:cstheme="minorHAnsi"/>
          <w:shd w:val="clear" w:color="auto" w:fill="FFFFFF"/>
        </w:rPr>
        <w:t>benzoprene</w:t>
      </w:r>
      <w:proofErr w:type="spellEnd"/>
      <w:r w:rsidR="00F9416C" w:rsidRPr="00BA31A9">
        <w:rPr>
          <w:rFonts w:cstheme="minorHAnsi"/>
          <w:shd w:val="clear" w:color="auto" w:fill="FFFFFF"/>
        </w:rPr>
        <w:t xml:space="preserve"> and 75% more benzanthracene, both </w:t>
      </w:r>
      <w:r w:rsidR="0055782F" w:rsidRPr="00BA31A9">
        <w:rPr>
          <w:rFonts w:cstheme="minorHAnsi"/>
          <w:shd w:val="clear" w:color="auto" w:fill="FFFFFF"/>
        </w:rPr>
        <w:t xml:space="preserve">are </w:t>
      </w:r>
      <w:r w:rsidR="00F9416C" w:rsidRPr="00BA31A9">
        <w:rPr>
          <w:rFonts w:cstheme="minorHAnsi"/>
          <w:shd w:val="clear" w:color="auto" w:fill="FFFFFF"/>
        </w:rPr>
        <w:t>cancer causing chemicals</w:t>
      </w:r>
      <w:r w:rsidR="004818D6" w:rsidRPr="00BA31A9">
        <w:rPr>
          <w:rFonts w:cstheme="minorHAnsi"/>
          <w:shd w:val="clear" w:color="auto" w:fill="FFFFFF"/>
        </w:rPr>
        <w:t xml:space="preserve"> (1</w:t>
      </w:r>
      <w:r w:rsidR="00176922" w:rsidRPr="00BA31A9">
        <w:rPr>
          <w:rFonts w:cstheme="minorHAnsi"/>
          <w:shd w:val="clear" w:color="auto" w:fill="FFFFFF"/>
        </w:rPr>
        <w:t>3</w:t>
      </w:r>
      <w:r w:rsidR="004818D6" w:rsidRPr="00BA31A9">
        <w:rPr>
          <w:rFonts w:cstheme="minorHAnsi"/>
          <w:shd w:val="clear" w:color="auto" w:fill="FFFFFF"/>
        </w:rPr>
        <w:t>).</w:t>
      </w:r>
      <w:r w:rsidR="00F9416C" w:rsidRPr="00BA31A9">
        <w:rPr>
          <w:rFonts w:cstheme="minorHAnsi"/>
          <w:shd w:val="clear" w:color="auto" w:fill="FFFFFF"/>
        </w:rPr>
        <w:t xml:space="preserve">  </w:t>
      </w:r>
      <w:r w:rsidR="004818D6" w:rsidRPr="00BA31A9">
        <w:rPr>
          <w:rFonts w:cstheme="minorHAnsi"/>
          <w:shd w:val="clear" w:color="auto" w:fill="FFFFFF"/>
        </w:rPr>
        <w:t>Breathing in secondhand</w:t>
      </w:r>
      <w:r w:rsidR="00C52459" w:rsidRPr="00BA31A9">
        <w:rPr>
          <w:rFonts w:cstheme="minorHAnsi"/>
          <w:shd w:val="clear" w:color="auto" w:fill="FFFFFF"/>
        </w:rPr>
        <w:t xml:space="preserve"> m</w:t>
      </w:r>
      <w:r w:rsidR="00F9416C" w:rsidRPr="00BA31A9">
        <w:rPr>
          <w:rFonts w:cstheme="minorHAnsi"/>
          <w:shd w:val="clear" w:color="auto" w:fill="FFFFFF"/>
        </w:rPr>
        <w:t xml:space="preserve">arijuana smoke </w:t>
      </w:r>
      <w:r w:rsidR="003332CB" w:rsidRPr="00BA31A9">
        <w:rPr>
          <w:rFonts w:cstheme="minorHAnsi"/>
          <w:shd w:val="clear" w:color="auto" w:fill="FFFFFF"/>
        </w:rPr>
        <w:t xml:space="preserve">endangers others </w:t>
      </w:r>
      <w:r w:rsidR="00242D16" w:rsidRPr="00BA31A9">
        <w:rPr>
          <w:rFonts w:cstheme="minorHAnsi"/>
          <w:shd w:val="clear" w:color="auto" w:fill="FFFFFF"/>
        </w:rPr>
        <w:t>with</w:t>
      </w:r>
      <w:r w:rsidR="003332CB" w:rsidRPr="00BA31A9">
        <w:rPr>
          <w:rFonts w:cstheme="minorHAnsi"/>
          <w:shd w:val="clear" w:color="auto" w:fill="FFFFFF"/>
        </w:rPr>
        <w:t xml:space="preserve"> </w:t>
      </w:r>
      <w:r w:rsidR="00F9416C" w:rsidRPr="00BA31A9">
        <w:rPr>
          <w:rFonts w:cstheme="minorHAnsi"/>
          <w:shd w:val="clear" w:color="auto" w:fill="FFFFFF"/>
        </w:rPr>
        <w:t xml:space="preserve">the same toxins and carcinogens as those being inhaled by the user; therefore, Fairfield's public location for </w:t>
      </w:r>
      <w:r w:rsidR="00176922" w:rsidRPr="00BA31A9">
        <w:rPr>
          <w:rFonts w:cstheme="minorHAnsi"/>
          <w:shd w:val="clear" w:color="auto" w:fill="FFFFFF"/>
        </w:rPr>
        <w:t>cannabis</w:t>
      </w:r>
      <w:r w:rsidR="00F9416C" w:rsidRPr="00BA31A9">
        <w:rPr>
          <w:rFonts w:cstheme="minorHAnsi"/>
          <w:shd w:val="clear" w:color="auto" w:fill="FFFFFF"/>
        </w:rPr>
        <w:t xml:space="preserve"> use should avoid exposing others to marijuana's toxic chemicals</w:t>
      </w:r>
      <w:r w:rsidR="004818D6" w:rsidRPr="00BA31A9">
        <w:rPr>
          <w:rFonts w:cstheme="minorHAnsi"/>
          <w:shd w:val="clear" w:color="auto" w:fill="FFFFFF"/>
        </w:rPr>
        <w:t>.</w:t>
      </w:r>
    </w:p>
    <w:p w14:paraId="5064CCC4" w14:textId="461054E4" w:rsidR="00D97A00" w:rsidRPr="003332CB" w:rsidRDefault="00D97A00" w:rsidP="000117BB">
      <w:pPr>
        <w:spacing w:after="0"/>
        <w:rPr>
          <w:color w:val="FF0000"/>
        </w:rPr>
      </w:pPr>
    </w:p>
    <w:p w14:paraId="7C407C37" w14:textId="77777777" w:rsidR="00BA31A9" w:rsidRDefault="00BA31A9" w:rsidP="000117BB">
      <w:pPr>
        <w:spacing w:after="0"/>
        <w:rPr>
          <w:b/>
          <w:bCs/>
          <w:i/>
          <w:iCs/>
          <w:u w:val="single"/>
        </w:rPr>
      </w:pPr>
    </w:p>
    <w:p w14:paraId="4494D3B3" w14:textId="77777777" w:rsidR="00BA31A9" w:rsidRDefault="00BA31A9" w:rsidP="000117BB">
      <w:pPr>
        <w:spacing w:after="0"/>
        <w:rPr>
          <w:b/>
          <w:bCs/>
          <w:i/>
          <w:iCs/>
          <w:u w:val="single"/>
        </w:rPr>
      </w:pPr>
    </w:p>
    <w:p w14:paraId="004D6E02" w14:textId="77777777" w:rsidR="00BA31A9" w:rsidRDefault="00BA31A9" w:rsidP="000117BB">
      <w:pPr>
        <w:spacing w:after="0"/>
        <w:rPr>
          <w:b/>
          <w:bCs/>
          <w:i/>
          <w:iCs/>
          <w:u w:val="single"/>
        </w:rPr>
      </w:pPr>
    </w:p>
    <w:p w14:paraId="54EBE4C8" w14:textId="77777777" w:rsidR="00BA31A9" w:rsidRDefault="00BA31A9" w:rsidP="000117BB">
      <w:pPr>
        <w:spacing w:after="0"/>
        <w:rPr>
          <w:b/>
          <w:bCs/>
          <w:i/>
          <w:iCs/>
          <w:u w:val="single"/>
        </w:rPr>
      </w:pPr>
    </w:p>
    <w:p w14:paraId="099CF059" w14:textId="057246A0" w:rsidR="00AE2734" w:rsidRDefault="00D97A00" w:rsidP="000117BB">
      <w:pPr>
        <w:spacing w:after="0"/>
        <w:rPr>
          <w:rFonts w:cstheme="minorHAnsi"/>
          <w:b/>
          <w:bCs/>
          <w:i/>
          <w:iCs/>
          <w:shd w:val="clear" w:color="auto" w:fill="FFFFFF"/>
        </w:rPr>
      </w:pPr>
      <w:r w:rsidRPr="00BF17B3">
        <w:rPr>
          <w:b/>
          <w:bCs/>
          <w:i/>
          <w:iCs/>
          <w:u w:val="single"/>
        </w:rPr>
        <w:lastRenderedPageBreak/>
        <w:t xml:space="preserve">Fairfield </w:t>
      </w:r>
      <w:proofErr w:type="gramStart"/>
      <w:r w:rsidRPr="00BF17B3">
        <w:rPr>
          <w:b/>
          <w:bCs/>
          <w:i/>
          <w:iCs/>
          <w:u w:val="single"/>
        </w:rPr>
        <w:t>CARES’</w:t>
      </w:r>
      <w:proofErr w:type="gramEnd"/>
      <w:r w:rsidRPr="00BF17B3">
        <w:rPr>
          <w:b/>
          <w:bCs/>
          <w:i/>
          <w:iCs/>
          <w:u w:val="single"/>
        </w:rPr>
        <w:t xml:space="preserve"> </w:t>
      </w:r>
      <w:r w:rsidR="006358D8" w:rsidRPr="00BF17B3">
        <w:rPr>
          <w:b/>
          <w:bCs/>
          <w:i/>
          <w:iCs/>
          <w:u w:val="single"/>
        </w:rPr>
        <w:t xml:space="preserve">believes it is necessary for the health of our children </w:t>
      </w:r>
      <w:r w:rsidR="00901DB6" w:rsidRPr="00BF17B3">
        <w:rPr>
          <w:b/>
          <w:bCs/>
          <w:i/>
          <w:iCs/>
          <w:u w:val="single"/>
        </w:rPr>
        <w:t xml:space="preserve">not to have any retail or commercial </w:t>
      </w:r>
      <w:r w:rsidR="005C6238">
        <w:rPr>
          <w:b/>
          <w:bCs/>
          <w:i/>
          <w:iCs/>
          <w:u w:val="single"/>
        </w:rPr>
        <w:t>cannabis</w:t>
      </w:r>
      <w:r w:rsidR="00901DB6" w:rsidRPr="00BF17B3">
        <w:rPr>
          <w:b/>
          <w:bCs/>
          <w:i/>
          <w:iCs/>
          <w:u w:val="single"/>
        </w:rPr>
        <w:t xml:space="preserve"> enterprise in the community</w:t>
      </w:r>
      <w:r w:rsidR="00353729" w:rsidRPr="00BF17B3">
        <w:rPr>
          <w:b/>
          <w:bCs/>
          <w:i/>
          <w:iCs/>
          <w:u w:val="single"/>
        </w:rPr>
        <w:t>.</w:t>
      </w:r>
      <w:r w:rsidR="00353729">
        <w:rPr>
          <w:b/>
          <w:bCs/>
          <w:i/>
          <w:iCs/>
        </w:rPr>
        <w:t xml:space="preserve"> </w:t>
      </w:r>
      <w:r w:rsidR="00BF17B3">
        <w:rPr>
          <w:b/>
          <w:bCs/>
          <w:i/>
          <w:iCs/>
        </w:rPr>
        <w:t xml:space="preserve"> </w:t>
      </w:r>
      <w:r w:rsidR="00353729" w:rsidRPr="00BA31A9">
        <w:rPr>
          <w:b/>
          <w:bCs/>
          <w:i/>
          <w:iCs/>
        </w:rPr>
        <w:t>I</w:t>
      </w:r>
      <w:r w:rsidR="00901DB6" w:rsidRPr="00BA31A9">
        <w:rPr>
          <w:b/>
          <w:bCs/>
          <w:i/>
          <w:iCs/>
        </w:rPr>
        <w:t>f town</w:t>
      </w:r>
      <w:r w:rsidR="00CC67FF" w:rsidRPr="00BA31A9">
        <w:rPr>
          <w:b/>
          <w:bCs/>
          <w:i/>
          <w:iCs/>
        </w:rPr>
        <w:t xml:space="preserve"> </w:t>
      </w:r>
      <w:r w:rsidR="00845AED" w:rsidRPr="00BA31A9">
        <w:rPr>
          <w:b/>
          <w:bCs/>
          <w:i/>
          <w:iCs/>
        </w:rPr>
        <w:t>policy bodies</w:t>
      </w:r>
      <w:r w:rsidR="000A7DF6" w:rsidRPr="00BA31A9">
        <w:rPr>
          <w:b/>
          <w:bCs/>
          <w:i/>
          <w:iCs/>
        </w:rPr>
        <w:t xml:space="preserve"> </w:t>
      </w:r>
      <w:r w:rsidR="00CC67FF" w:rsidRPr="00BA31A9">
        <w:rPr>
          <w:b/>
          <w:bCs/>
          <w:i/>
          <w:iCs/>
        </w:rPr>
        <w:t>vote differently</w:t>
      </w:r>
      <w:r w:rsidR="00086EBF" w:rsidRPr="00BA31A9">
        <w:rPr>
          <w:b/>
          <w:bCs/>
          <w:i/>
          <w:iCs/>
        </w:rPr>
        <w:t>,</w:t>
      </w:r>
      <w:r w:rsidR="00CC67FF" w:rsidRPr="00BA31A9">
        <w:rPr>
          <w:b/>
          <w:bCs/>
          <w:i/>
          <w:iCs/>
        </w:rPr>
        <w:t xml:space="preserve"> th</w:t>
      </w:r>
      <w:r w:rsidR="00086EBF" w:rsidRPr="00BA31A9">
        <w:rPr>
          <w:b/>
          <w:bCs/>
          <w:i/>
          <w:iCs/>
        </w:rPr>
        <w:t>e</w:t>
      </w:r>
      <w:r w:rsidR="00CC67FF" w:rsidRPr="00BA31A9">
        <w:rPr>
          <w:b/>
          <w:bCs/>
          <w:i/>
          <w:iCs/>
        </w:rPr>
        <w:t xml:space="preserve">n the coalition feels strongly that </w:t>
      </w:r>
      <w:r w:rsidR="00086EBF" w:rsidRPr="00BA31A9">
        <w:rPr>
          <w:b/>
          <w:bCs/>
          <w:i/>
          <w:iCs/>
        </w:rPr>
        <w:t xml:space="preserve">the </w:t>
      </w:r>
      <w:r w:rsidR="000A7DF6" w:rsidRPr="00BA31A9">
        <w:rPr>
          <w:b/>
          <w:bCs/>
          <w:i/>
          <w:iCs/>
        </w:rPr>
        <w:t>protections</w:t>
      </w:r>
      <w:r w:rsidR="00CC67FF" w:rsidRPr="00BA31A9">
        <w:rPr>
          <w:b/>
          <w:bCs/>
          <w:i/>
          <w:iCs/>
        </w:rPr>
        <w:t xml:space="preserve"> </w:t>
      </w:r>
      <w:r w:rsidR="00353729" w:rsidRPr="00BA31A9">
        <w:rPr>
          <w:b/>
          <w:bCs/>
          <w:i/>
          <w:iCs/>
        </w:rPr>
        <w:t xml:space="preserve">listed below </w:t>
      </w:r>
      <w:r w:rsidR="00CC67FF" w:rsidRPr="00BA31A9">
        <w:rPr>
          <w:b/>
          <w:bCs/>
          <w:i/>
          <w:iCs/>
        </w:rPr>
        <w:t>be put in place</w:t>
      </w:r>
      <w:r w:rsidR="00353729" w:rsidRPr="00BA31A9">
        <w:rPr>
          <w:b/>
          <w:bCs/>
          <w:i/>
          <w:iCs/>
        </w:rPr>
        <w:t xml:space="preserve">. </w:t>
      </w:r>
      <w:r w:rsidR="00ED2FB0" w:rsidRPr="00BA31A9">
        <w:rPr>
          <w:rFonts w:cstheme="minorHAnsi"/>
          <w:b/>
          <w:bCs/>
          <w:i/>
          <w:iCs/>
          <w:shd w:val="clear" w:color="auto" w:fill="FFFFFF"/>
        </w:rPr>
        <w:t>Fairfield CARES</w:t>
      </w:r>
      <w:r w:rsidR="00BA31A9" w:rsidRPr="00BA31A9">
        <w:rPr>
          <w:rFonts w:cstheme="minorHAnsi"/>
          <w:b/>
          <w:bCs/>
          <w:i/>
          <w:iCs/>
          <w:shd w:val="clear" w:color="auto" w:fill="FFFFFF"/>
        </w:rPr>
        <w:t xml:space="preserve">, </w:t>
      </w:r>
      <w:r w:rsidR="003446B8">
        <w:rPr>
          <w:rFonts w:cstheme="minorHAnsi"/>
          <w:b/>
          <w:bCs/>
          <w:i/>
          <w:iCs/>
          <w:shd w:val="clear" w:color="auto" w:fill="FFFFFF"/>
        </w:rPr>
        <w:t xml:space="preserve">utilizing research and information from the </w:t>
      </w:r>
      <w:r w:rsidR="00BA31A9" w:rsidRPr="00BA31A9">
        <w:rPr>
          <w:rFonts w:cstheme="minorHAnsi"/>
          <w:b/>
          <w:bCs/>
          <w:i/>
          <w:iCs/>
          <w:shd w:val="clear" w:color="auto" w:fill="FFFFFF"/>
        </w:rPr>
        <w:t>Connecticut</w:t>
      </w:r>
      <w:r w:rsidR="00322BE6" w:rsidRPr="00BA31A9">
        <w:rPr>
          <w:rFonts w:cstheme="minorHAnsi"/>
          <w:b/>
          <w:bCs/>
          <w:i/>
          <w:iCs/>
          <w:shd w:val="clear" w:color="auto" w:fill="FFFFFF"/>
        </w:rPr>
        <w:t xml:space="preserve"> </w:t>
      </w:r>
      <w:r w:rsidR="003446B8">
        <w:rPr>
          <w:rFonts w:cstheme="minorHAnsi"/>
          <w:b/>
          <w:bCs/>
          <w:i/>
          <w:iCs/>
          <w:shd w:val="clear" w:color="auto" w:fill="FFFFFF"/>
        </w:rPr>
        <w:t xml:space="preserve">General Assembly’s </w:t>
      </w:r>
      <w:r w:rsidR="00322BE6" w:rsidRPr="00BA31A9">
        <w:rPr>
          <w:rFonts w:cstheme="minorHAnsi"/>
          <w:b/>
          <w:bCs/>
          <w:i/>
          <w:iCs/>
          <w:shd w:val="clear" w:color="auto" w:fill="FFFFFF"/>
        </w:rPr>
        <w:t>Office of Legislative Research</w:t>
      </w:r>
      <w:r w:rsidR="00BA31A9" w:rsidRPr="00BA31A9">
        <w:rPr>
          <w:rFonts w:cstheme="minorHAnsi"/>
          <w:b/>
          <w:bCs/>
          <w:i/>
          <w:iCs/>
          <w:shd w:val="clear" w:color="auto" w:fill="FFFFFF"/>
        </w:rPr>
        <w:t>, believes</w:t>
      </w:r>
      <w:r w:rsidR="00322BE6" w:rsidRPr="00BA31A9">
        <w:rPr>
          <w:rFonts w:cstheme="minorHAnsi"/>
          <w:b/>
          <w:bCs/>
          <w:i/>
          <w:iCs/>
          <w:shd w:val="clear" w:color="auto" w:fill="FFFFFF"/>
        </w:rPr>
        <w:t xml:space="preserve"> that the town </w:t>
      </w:r>
      <w:r w:rsidR="00BA31A9" w:rsidRPr="00BA31A9">
        <w:rPr>
          <w:rFonts w:cstheme="minorHAnsi"/>
          <w:b/>
          <w:bCs/>
          <w:i/>
          <w:iCs/>
          <w:shd w:val="clear" w:color="auto" w:fill="FFFFFF"/>
        </w:rPr>
        <w:t xml:space="preserve">has the authority to implement </w:t>
      </w:r>
      <w:r w:rsidR="00322BE6" w:rsidRPr="00BA31A9">
        <w:rPr>
          <w:rFonts w:cstheme="minorHAnsi"/>
          <w:b/>
          <w:bCs/>
          <w:i/>
          <w:iCs/>
          <w:shd w:val="clear" w:color="auto" w:fill="FFFFFF"/>
        </w:rPr>
        <w:t xml:space="preserve">the following recommendations: </w:t>
      </w:r>
    </w:p>
    <w:p w14:paraId="7B9598EC" w14:textId="2FC73DDC" w:rsidR="00D97A00" w:rsidRPr="00BA31A9" w:rsidRDefault="00ED2FB0" w:rsidP="000117BB">
      <w:pPr>
        <w:spacing w:after="0"/>
        <w:rPr>
          <w:rFonts w:cstheme="minorHAnsi"/>
          <w:b/>
          <w:bCs/>
          <w:i/>
          <w:iCs/>
        </w:rPr>
      </w:pPr>
      <w:r w:rsidRPr="00BA31A9">
        <w:rPr>
          <w:rFonts w:cstheme="minorHAnsi"/>
          <w:b/>
          <w:bCs/>
          <w:i/>
          <w:iCs/>
          <w:shd w:val="clear" w:color="auto" w:fill="FFFFFF"/>
        </w:rPr>
        <w:t> </w:t>
      </w:r>
    </w:p>
    <w:p w14:paraId="753FBDFE" w14:textId="070E64AD" w:rsidR="00566F34" w:rsidRDefault="00566F34" w:rsidP="00CC67FF">
      <w:pPr>
        <w:pStyle w:val="ListParagraph"/>
        <w:numPr>
          <w:ilvl w:val="0"/>
          <w:numId w:val="4"/>
        </w:numPr>
        <w:spacing w:after="0"/>
      </w:pPr>
      <w:r>
        <w:t xml:space="preserve">No commercial </w:t>
      </w:r>
      <w:r w:rsidR="005C6238">
        <w:t>cannabis</w:t>
      </w:r>
      <w:r>
        <w:t xml:space="preserve"> enterprise</w:t>
      </w:r>
      <w:r w:rsidR="00226BD7">
        <w:t xml:space="preserve"> (retail, processing, distribution, </w:t>
      </w:r>
      <w:proofErr w:type="spellStart"/>
      <w:r w:rsidR="00226BD7">
        <w:t>etc</w:t>
      </w:r>
      <w:proofErr w:type="spellEnd"/>
      <w:r w:rsidR="00226BD7">
        <w:t xml:space="preserve">) should be located within 1,000 ft of </w:t>
      </w:r>
      <w:r w:rsidR="008D6732" w:rsidRPr="00BA31A9">
        <w:t>day cares, schools, churches, parks and recreation areas, businesses that cater to children and/or families</w:t>
      </w:r>
      <w:r w:rsidR="00E03983">
        <w:t>,</w:t>
      </w:r>
      <w:r w:rsidR="008D6732" w:rsidRPr="00BA31A9">
        <w:t xml:space="preserve"> and </w:t>
      </w:r>
      <w:r w:rsidR="00BF17B3" w:rsidRPr="00BA31A9">
        <w:t xml:space="preserve">health care facilities. </w:t>
      </w:r>
      <w:r w:rsidR="00930D99" w:rsidRPr="00BA31A9">
        <w:t xml:space="preserve"> </w:t>
      </w:r>
      <w:r w:rsidR="00930D99">
        <w:t xml:space="preserve">The more children are exposed to an environment that includes </w:t>
      </w:r>
      <w:r w:rsidR="005C6238">
        <w:t>cannabis</w:t>
      </w:r>
      <w:r w:rsidR="00930D99">
        <w:t xml:space="preserve">, the more likely they are to use </w:t>
      </w:r>
      <w:r w:rsidR="005C6238">
        <w:t>cannabis</w:t>
      </w:r>
      <w:r w:rsidR="00930D99">
        <w:t>.</w:t>
      </w:r>
    </w:p>
    <w:p w14:paraId="69F83039" w14:textId="6B91D1B7" w:rsidR="002F091A" w:rsidRPr="00F040D8" w:rsidRDefault="002F091A" w:rsidP="00CC67FF">
      <w:pPr>
        <w:pStyle w:val="ListParagraph"/>
        <w:spacing w:after="0"/>
        <w:rPr>
          <w:i/>
          <w:iCs/>
        </w:rPr>
      </w:pPr>
    </w:p>
    <w:p w14:paraId="61BEF95B" w14:textId="58DC219E" w:rsidR="00EA70EB" w:rsidRDefault="005C6238" w:rsidP="00CC67FF">
      <w:pPr>
        <w:pStyle w:val="ListParagraph"/>
        <w:numPr>
          <w:ilvl w:val="0"/>
          <w:numId w:val="4"/>
        </w:numPr>
        <w:spacing w:after="0"/>
      </w:pPr>
      <w:r>
        <w:t>Cannabis</w:t>
      </w:r>
      <w:r w:rsidR="00C2720C">
        <w:t xml:space="preserve"> use</w:t>
      </w:r>
      <w:r w:rsidR="00EA70EB">
        <w:t xml:space="preserve"> and vaping should be included in </w:t>
      </w:r>
      <w:r w:rsidR="008C5B2A" w:rsidRPr="00BA31A9">
        <w:t xml:space="preserve">the town’s </w:t>
      </w:r>
      <w:r w:rsidR="00E95F1E">
        <w:t xml:space="preserve">indoor </w:t>
      </w:r>
      <w:r w:rsidR="00C710A5">
        <w:t>and</w:t>
      </w:r>
      <w:r w:rsidR="00E95F1E">
        <w:t xml:space="preserve"> outdoor “</w:t>
      </w:r>
      <w:r w:rsidR="00EA70EB">
        <w:t>clean-air</w:t>
      </w:r>
      <w:r w:rsidR="00E95F1E">
        <w:t>” tobacco ordinance</w:t>
      </w:r>
      <w:r w:rsidR="00242D16">
        <w:t>(s)</w:t>
      </w:r>
      <w:r w:rsidR="00C2720C">
        <w:t>.  P</w:t>
      </w:r>
      <w:r w:rsidR="00E95F1E">
        <w:t xml:space="preserve">eople should not be breathing in someone else’s vapor or </w:t>
      </w:r>
      <w:r>
        <w:t>cannabis</w:t>
      </w:r>
      <w:r w:rsidR="00E95F1E">
        <w:t xml:space="preserve"> smoke.  Inclusion of </w:t>
      </w:r>
      <w:r>
        <w:t>cannabis</w:t>
      </w:r>
      <w:r w:rsidR="00E95F1E">
        <w:t xml:space="preserve"> and vaping into existing tobacco ordinances minimizes children’s exposure to these substances.</w:t>
      </w:r>
    </w:p>
    <w:p w14:paraId="45577ADF" w14:textId="77777777" w:rsidR="00C2720C" w:rsidRDefault="00C2720C" w:rsidP="00C2720C">
      <w:pPr>
        <w:pStyle w:val="ListParagraph"/>
      </w:pPr>
    </w:p>
    <w:p w14:paraId="04EFA786" w14:textId="6C9B107E" w:rsidR="00FB31DF" w:rsidRPr="00C2720C" w:rsidRDefault="008C5B2A" w:rsidP="00FB31DF">
      <w:pPr>
        <w:pStyle w:val="ListParagraph"/>
        <w:numPr>
          <w:ilvl w:val="0"/>
          <w:numId w:val="4"/>
        </w:numPr>
        <w:spacing w:after="0"/>
      </w:pPr>
      <w:r w:rsidRPr="00BA31A9">
        <w:t>The town should</w:t>
      </w:r>
      <w:r w:rsidR="00913D0D" w:rsidRPr="00BA31A9">
        <w:t xml:space="preserve"> put as many restrictions on </w:t>
      </w:r>
      <w:r w:rsidR="00863E85" w:rsidRPr="00BA31A9">
        <w:t xml:space="preserve">cannabis store </w:t>
      </w:r>
      <w:r w:rsidR="00130B32" w:rsidRPr="00BA31A9">
        <w:t>signage</w:t>
      </w:r>
      <w:r w:rsidR="00913D0D" w:rsidRPr="00BA31A9">
        <w:t xml:space="preserve"> as the law allows.  </w:t>
      </w:r>
      <w:r w:rsidR="00E03983">
        <w:t>A</w:t>
      </w:r>
      <w:r w:rsidR="008F177C">
        <w:t xml:space="preserve">ny store signage </w:t>
      </w:r>
      <w:r w:rsidR="00136759">
        <w:t xml:space="preserve">should </w:t>
      </w:r>
      <w:r w:rsidR="008F177C">
        <w:t>be subtle and discreet</w:t>
      </w:r>
      <w:r w:rsidR="00136759">
        <w:t>. U</w:t>
      </w:r>
      <w:r w:rsidR="008F177C">
        <w:t xml:space="preserve">se </w:t>
      </w:r>
      <w:r w:rsidR="00136759">
        <w:t xml:space="preserve">of </w:t>
      </w:r>
      <w:r w:rsidR="00566F34" w:rsidRPr="00C2720C">
        <w:t xml:space="preserve">language </w:t>
      </w:r>
      <w:r w:rsidR="00CF7165" w:rsidRPr="00C2720C">
        <w:t xml:space="preserve">that </w:t>
      </w:r>
      <w:r w:rsidR="00566F34" w:rsidRPr="00C2720C">
        <w:t>indicat</w:t>
      </w:r>
      <w:r w:rsidR="00CF7165" w:rsidRPr="00C2720C">
        <w:t>es</w:t>
      </w:r>
      <w:r w:rsidR="00566F34" w:rsidRPr="00C2720C">
        <w:t xml:space="preserve"> </w:t>
      </w:r>
      <w:r w:rsidR="005C6238">
        <w:t>cannabis</w:t>
      </w:r>
      <w:r w:rsidR="00566F34" w:rsidRPr="00C2720C">
        <w:t xml:space="preserve">, </w:t>
      </w:r>
      <w:r w:rsidR="008F177C">
        <w:t xml:space="preserve">or </w:t>
      </w:r>
      <w:r w:rsidR="00CF7165" w:rsidRPr="00C2720C">
        <w:t>depiction</w:t>
      </w:r>
      <w:r w:rsidR="008F177C">
        <w:t>s</w:t>
      </w:r>
      <w:r w:rsidR="00CF7165" w:rsidRPr="00C2720C">
        <w:t xml:space="preserve"> of </w:t>
      </w:r>
      <w:r w:rsidR="005C6238">
        <w:t>cannabis</w:t>
      </w:r>
      <w:r w:rsidR="00566F34" w:rsidRPr="00C2720C">
        <w:t xml:space="preserve"> </w:t>
      </w:r>
      <w:r w:rsidR="00CF7165" w:rsidRPr="00C2720C">
        <w:t xml:space="preserve">or </w:t>
      </w:r>
      <w:r w:rsidR="005C6238">
        <w:t>cannabis</w:t>
      </w:r>
      <w:r w:rsidR="00CF7165" w:rsidRPr="00C2720C">
        <w:t xml:space="preserve"> symbols such </w:t>
      </w:r>
      <w:r w:rsidR="00E03983">
        <w:t xml:space="preserve">as a </w:t>
      </w:r>
      <w:r w:rsidR="00566F34" w:rsidRPr="00C2720C">
        <w:t xml:space="preserve">green cross, </w:t>
      </w:r>
      <w:r w:rsidR="00136759">
        <w:t xml:space="preserve">and use of </w:t>
      </w:r>
      <w:r w:rsidR="00566F34" w:rsidRPr="00C2720C">
        <w:t>neon lights</w:t>
      </w:r>
      <w:r w:rsidR="00136759">
        <w:t xml:space="preserve"> should not be permitted. Subtle, discreet signage lessens exposure of </w:t>
      </w:r>
      <w:r w:rsidR="005C6238">
        <w:t>cannabis</w:t>
      </w:r>
      <w:r w:rsidR="00136759">
        <w:t xml:space="preserve"> marketing </w:t>
      </w:r>
      <w:r w:rsidR="00FB31DF">
        <w:t xml:space="preserve">to children </w:t>
      </w:r>
      <w:r w:rsidR="00136759">
        <w:t xml:space="preserve">and </w:t>
      </w:r>
      <w:r w:rsidR="00FB31DF">
        <w:t xml:space="preserve">therefore, minimizes </w:t>
      </w:r>
      <w:r w:rsidR="00100361">
        <w:t>children’s perce</w:t>
      </w:r>
      <w:r w:rsidR="008C5513">
        <w:t xml:space="preserve">ived </w:t>
      </w:r>
      <w:r w:rsidR="00FB31DF">
        <w:t xml:space="preserve">normalization of </w:t>
      </w:r>
      <w:r w:rsidR="005C6238">
        <w:t>cannabis</w:t>
      </w:r>
      <w:r w:rsidR="00FB31DF">
        <w:t xml:space="preserve"> use</w:t>
      </w:r>
      <w:r w:rsidR="00136759">
        <w:t>.</w:t>
      </w:r>
    </w:p>
    <w:p w14:paraId="703784A6" w14:textId="4D144251" w:rsidR="00566F34" w:rsidRPr="00C2720C" w:rsidRDefault="00566F34" w:rsidP="008C5513">
      <w:pPr>
        <w:pStyle w:val="ListParagraph"/>
        <w:spacing w:after="0"/>
      </w:pPr>
    </w:p>
    <w:p w14:paraId="2692C600" w14:textId="03A0E16B" w:rsidR="00566F34" w:rsidRPr="008C5513" w:rsidRDefault="00BA31A9" w:rsidP="00566F34">
      <w:pPr>
        <w:pStyle w:val="ListParagraph"/>
        <w:numPr>
          <w:ilvl w:val="0"/>
          <w:numId w:val="4"/>
        </w:numPr>
        <w:spacing w:after="0"/>
      </w:pPr>
      <w:r>
        <w:t>E</w:t>
      </w:r>
      <w:r w:rsidR="00845AED">
        <w:t>nforce the strictest fines and deterrents as provided by state law</w:t>
      </w:r>
      <w:r w:rsidR="002942E6">
        <w:t xml:space="preserve"> to an</w:t>
      </w:r>
      <w:r w:rsidR="00D71A3F" w:rsidRPr="008C5513">
        <w:t xml:space="preserve">yone </w:t>
      </w:r>
      <w:r w:rsidR="006F5672">
        <w:t xml:space="preserve">(including parents) </w:t>
      </w:r>
      <w:r w:rsidR="00D71A3F" w:rsidRPr="008C5513">
        <w:t xml:space="preserve">who provides </w:t>
      </w:r>
      <w:r w:rsidR="005C6238">
        <w:t>cannabis</w:t>
      </w:r>
      <w:r>
        <w:t xml:space="preserve"> </w:t>
      </w:r>
      <w:r w:rsidR="00D71A3F" w:rsidRPr="008C5513">
        <w:t>to a child</w:t>
      </w:r>
      <w:r w:rsidR="00AC51CB" w:rsidRPr="008C5513">
        <w:t xml:space="preserve">, other than for medicinal purposes as listed by the CT </w:t>
      </w:r>
      <w:r w:rsidR="004A4ED3" w:rsidRPr="008C5513">
        <w:t>Department of Consumer Protection</w:t>
      </w:r>
      <w:r w:rsidR="00AC51CB" w:rsidRPr="008C5513">
        <w:t>.</w:t>
      </w:r>
    </w:p>
    <w:p w14:paraId="6EC1E29D" w14:textId="77777777" w:rsidR="00221DDC" w:rsidRDefault="00221DDC" w:rsidP="00AC51CB">
      <w:pPr>
        <w:pStyle w:val="ListParagraph"/>
        <w:spacing w:after="0"/>
      </w:pPr>
    </w:p>
    <w:p w14:paraId="67C2A9A4" w14:textId="52F1B722" w:rsidR="00566F34" w:rsidRPr="00BA31A9" w:rsidRDefault="00BA31A9" w:rsidP="00531A36">
      <w:pPr>
        <w:pStyle w:val="ListParagraph"/>
        <w:numPr>
          <w:ilvl w:val="0"/>
          <w:numId w:val="4"/>
        </w:numPr>
        <w:spacing w:after="0"/>
      </w:pPr>
      <w:r w:rsidRPr="00BA31A9">
        <w:t>E</w:t>
      </w:r>
      <w:r w:rsidR="00130B32" w:rsidRPr="00BA31A9">
        <w:t xml:space="preserve">nforce the </w:t>
      </w:r>
      <w:r w:rsidR="006942B5" w:rsidRPr="00BA31A9">
        <w:t xml:space="preserve">provisions of the </w:t>
      </w:r>
      <w:r w:rsidR="00130B32" w:rsidRPr="00BA31A9">
        <w:t xml:space="preserve">law concerning </w:t>
      </w:r>
      <w:r w:rsidR="006942B5" w:rsidRPr="00BA31A9">
        <w:t>cannabis</w:t>
      </w:r>
      <w:r w:rsidR="002370DF" w:rsidRPr="00BA31A9">
        <w:t xml:space="preserve"> product</w:t>
      </w:r>
      <w:r w:rsidR="00893AB5" w:rsidRPr="00BA31A9">
        <w:t xml:space="preserve"> </w:t>
      </w:r>
      <w:r w:rsidR="006942B5" w:rsidRPr="00BA31A9">
        <w:t xml:space="preserve">advertising, promotion and sponsorships to </w:t>
      </w:r>
      <w:r w:rsidR="0000261D" w:rsidRPr="00BA31A9">
        <w:t>prevent youth’s exposure to cannabis marketing and the normalizing of cannabis use</w:t>
      </w:r>
      <w:r>
        <w:t>.</w:t>
      </w:r>
    </w:p>
    <w:p w14:paraId="2B1990F6" w14:textId="77777777" w:rsidR="008D6382" w:rsidRDefault="008D6382" w:rsidP="000117BB">
      <w:pPr>
        <w:spacing w:after="0"/>
      </w:pPr>
    </w:p>
    <w:p w14:paraId="7F3B2144" w14:textId="77777777" w:rsidR="008D6382" w:rsidRDefault="008D6382" w:rsidP="000117BB">
      <w:pPr>
        <w:spacing w:after="0"/>
      </w:pPr>
    </w:p>
    <w:p w14:paraId="0D6C6724" w14:textId="77777777" w:rsidR="008D6382" w:rsidRDefault="008D6382" w:rsidP="000117BB">
      <w:pPr>
        <w:spacing w:after="0"/>
      </w:pPr>
    </w:p>
    <w:p w14:paraId="0BDCCB38" w14:textId="77777777" w:rsidR="008D6382" w:rsidRDefault="008D6382" w:rsidP="000117BB">
      <w:pPr>
        <w:spacing w:after="0"/>
      </w:pPr>
    </w:p>
    <w:p w14:paraId="5951F548" w14:textId="77777777" w:rsidR="008D6382" w:rsidRDefault="008D6382" w:rsidP="000117BB">
      <w:pPr>
        <w:spacing w:after="0"/>
      </w:pPr>
    </w:p>
    <w:p w14:paraId="638338D1" w14:textId="77777777" w:rsidR="008D6382" w:rsidRDefault="008D6382" w:rsidP="000117BB">
      <w:pPr>
        <w:spacing w:after="0"/>
      </w:pPr>
    </w:p>
    <w:p w14:paraId="5378220E" w14:textId="77777777" w:rsidR="008D6382" w:rsidRDefault="008D6382" w:rsidP="000117BB">
      <w:pPr>
        <w:spacing w:after="0"/>
      </w:pPr>
    </w:p>
    <w:p w14:paraId="40DA078E" w14:textId="77777777" w:rsidR="008D6382" w:rsidRDefault="008D6382" w:rsidP="000117BB">
      <w:pPr>
        <w:spacing w:after="0"/>
      </w:pPr>
    </w:p>
    <w:p w14:paraId="1FE6A440" w14:textId="77777777" w:rsidR="008D6382" w:rsidRDefault="008D6382" w:rsidP="000117BB">
      <w:pPr>
        <w:spacing w:after="0"/>
      </w:pPr>
    </w:p>
    <w:p w14:paraId="7298DE05" w14:textId="77777777" w:rsidR="008D6382" w:rsidRDefault="008D6382" w:rsidP="000117BB">
      <w:pPr>
        <w:spacing w:after="0"/>
      </w:pPr>
    </w:p>
    <w:p w14:paraId="39B04838" w14:textId="77777777" w:rsidR="00BA31A9" w:rsidRDefault="00BA31A9" w:rsidP="000117BB">
      <w:pPr>
        <w:spacing w:after="0"/>
      </w:pPr>
    </w:p>
    <w:p w14:paraId="429B3EB8" w14:textId="77777777" w:rsidR="00BA31A9" w:rsidRDefault="00BA31A9" w:rsidP="000117BB">
      <w:pPr>
        <w:spacing w:after="0"/>
      </w:pPr>
    </w:p>
    <w:p w14:paraId="23851561" w14:textId="77777777" w:rsidR="00BA31A9" w:rsidRDefault="00BA31A9" w:rsidP="000117BB">
      <w:pPr>
        <w:spacing w:after="0"/>
      </w:pPr>
    </w:p>
    <w:p w14:paraId="4E8060D1" w14:textId="77777777" w:rsidR="00BA31A9" w:rsidRDefault="00BA31A9" w:rsidP="000117BB">
      <w:pPr>
        <w:spacing w:after="0"/>
      </w:pPr>
    </w:p>
    <w:p w14:paraId="10ADE21D" w14:textId="77777777" w:rsidR="00BA31A9" w:rsidRDefault="00BA31A9" w:rsidP="000117BB">
      <w:pPr>
        <w:spacing w:after="0"/>
      </w:pPr>
    </w:p>
    <w:p w14:paraId="615E56E2" w14:textId="7431E131" w:rsidR="00F56017" w:rsidRDefault="00C57584" w:rsidP="000117BB">
      <w:pPr>
        <w:spacing w:after="0"/>
      </w:pPr>
      <w:r>
        <w:lastRenderedPageBreak/>
        <w:t>Refe</w:t>
      </w:r>
      <w:r w:rsidR="00F56017">
        <w:t>rences</w:t>
      </w:r>
    </w:p>
    <w:p w14:paraId="32787920" w14:textId="66785B11" w:rsidR="00F56017" w:rsidRDefault="00F56017" w:rsidP="00F56017">
      <w:pPr>
        <w:pStyle w:val="ListParagraph"/>
        <w:numPr>
          <w:ilvl w:val="0"/>
          <w:numId w:val="5"/>
        </w:numPr>
        <w:spacing w:after="0"/>
      </w:pPr>
      <w:r>
        <w:t xml:space="preserve">“Lessons Learned </w:t>
      </w:r>
      <w:proofErr w:type="gramStart"/>
      <w:r>
        <w:t>From</w:t>
      </w:r>
      <w:proofErr w:type="gramEnd"/>
      <w:r>
        <w:t xml:space="preserve"> State Marijuana Legalization”, </w:t>
      </w:r>
      <w:r w:rsidR="00CC0DDE">
        <w:t xml:space="preserve">Smart Approaches to Marijuana, p.33, original citation: Substance Abuse and Mental Health Administration (2019a). National survey on drug use and health 2018 (NSDUH-2018-DS0001). </w:t>
      </w:r>
      <w:hyperlink r:id="rId12" w:history="1">
        <w:r w:rsidR="00CC0DDE" w:rsidRPr="00696658">
          <w:rPr>
            <w:rStyle w:val="Hyperlink"/>
          </w:rPr>
          <w:t>https://www.datafiles.samhsa.gov/study-dataset/national-survey-drug-use-and-health-2018-nsduh-2018-ds0001-nid18758</w:t>
        </w:r>
      </w:hyperlink>
    </w:p>
    <w:p w14:paraId="5B6CE08D" w14:textId="175FB786" w:rsidR="00C30497" w:rsidRDefault="00C30497" w:rsidP="00F56017">
      <w:pPr>
        <w:pStyle w:val="ListParagraph"/>
        <w:numPr>
          <w:ilvl w:val="0"/>
          <w:numId w:val="5"/>
        </w:numPr>
        <w:spacing w:after="0"/>
      </w:pPr>
      <w:r>
        <w:t xml:space="preserve">Hatch, A. (2017, April 14). </w:t>
      </w:r>
      <w:proofErr w:type="gramStart"/>
      <w:r>
        <w:t>“ Researchers</w:t>
      </w:r>
      <w:proofErr w:type="gramEnd"/>
      <w:r>
        <w:t xml:space="preserve"> tracking public health impacts of marijuana legalization”. Washington State University. </w:t>
      </w:r>
      <w:hyperlink r:id="rId13" w:history="1">
        <w:r w:rsidRPr="002165A7">
          <w:rPr>
            <w:rStyle w:val="Hyperlink"/>
          </w:rPr>
          <w:t>https://nursing.wsu.edu/2017/04/14/13255</w:t>
        </w:r>
      </w:hyperlink>
    </w:p>
    <w:p w14:paraId="673C6CA9" w14:textId="41D805EC" w:rsidR="00C30497" w:rsidRDefault="006A113E" w:rsidP="00F56017">
      <w:pPr>
        <w:pStyle w:val="ListParagraph"/>
        <w:numPr>
          <w:ilvl w:val="0"/>
          <w:numId w:val="5"/>
        </w:numPr>
        <w:spacing w:after="0"/>
      </w:pPr>
      <w:r>
        <w:t>Washington State University. “Cannabis ads and store location influence youth marijuana use”. ScienceDaily. ScienceDaily, 8 October 2020.</w:t>
      </w:r>
      <w:r w:rsidR="00567B5E">
        <w:t xml:space="preserve"> </w:t>
      </w:r>
      <w:hyperlink r:id="rId14" w:history="1">
        <w:r w:rsidR="00567B5E" w:rsidRPr="002165A7">
          <w:rPr>
            <w:rStyle w:val="Hyperlink"/>
          </w:rPr>
          <w:t>www.sciencedaily.com/releases/2020/10/201008142132.htm</w:t>
        </w:r>
      </w:hyperlink>
      <w:r w:rsidR="00567B5E">
        <w:t>.</w:t>
      </w:r>
      <w:r>
        <w:t xml:space="preserve"> </w:t>
      </w:r>
    </w:p>
    <w:p w14:paraId="3E93B0FF" w14:textId="1AF9E645" w:rsidR="00EC4143" w:rsidRDefault="00EC4143" w:rsidP="00F56017">
      <w:pPr>
        <w:pStyle w:val="ListParagraph"/>
        <w:numPr>
          <w:ilvl w:val="0"/>
          <w:numId w:val="5"/>
        </w:numPr>
        <w:spacing w:after="0"/>
      </w:pPr>
      <w:r>
        <w:t>Centers for Disease Control &amp; Prevention</w:t>
      </w:r>
      <w:r w:rsidR="009C27CB">
        <w:t>, Preventing Chronic Disease: Public Health Research, Practice, and Policy. Dai, H., “Exposure to Advertisements and Marijuana Use Among US Adolescents”. Volume 14, November 30, 2017.</w:t>
      </w:r>
    </w:p>
    <w:p w14:paraId="06F262B1" w14:textId="51489E7E" w:rsidR="00453E46" w:rsidRDefault="00B917A1" w:rsidP="00F56017">
      <w:pPr>
        <w:pStyle w:val="ListParagraph"/>
        <w:numPr>
          <w:ilvl w:val="0"/>
          <w:numId w:val="5"/>
        </w:numPr>
        <w:spacing w:after="0"/>
      </w:pPr>
      <w:r>
        <w:t>University of Wisconsin School of Medicine and Public Health. “Study: Higher Social Media Engagement with Marijuana Marketing Linked to Higher Rates of Use”</w:t>
      </w:r>
      <w:r w:rsidR="00F70842">
        <w:t xml:space="preserve">. October 2019. Moreno, </w:t>
      </w:r>
      <w:proofErr w:type="spellStart"/>
      <w:proofErr w:type="gramStart"/>
      <w:r w:rsidR="00F70842">
        <w:t>M.,Whitehill</w:t>
      </w:r>
      <w:proofErr w:type="spellEnd"/>
      <w:proofErr w:type="gramEnd"/>
      <w:r w:rsidR="00F70842">
        <w:t>, J., Jenkins, M. https://www.med.wis.edu/news-and-events/2019/october/megan-moreno-marijuana-marketing-and-usage/</w:t>
      </w:r>
    </w:p>
    <w:p w14:paraId="2AD08F3F" w14:textId="0E9973B0" w:rsidR="00895C47" w:rsidRDefault="0060057D" w:rsidP="00F56017">
      <w:pPr>
        <w:pStyle w:val="ListParagraph"/>
        <w:numPr>
          <w:ilvl w:val="0"/>
          <w:numId w:val="5"/>
        </w:numPr>
        <w:spacing w:after="0"/>
      </w:pPr>
      <w:r>
        <w:t>Fisher, B., Robinson, T., Bullen, C, Curran, V., et al. (2021) “Lower-Risk Cannabis Use Guidelines (LRCUG) for reducing health harms from non-medical cannabis use: A comprehensive evidence and recommendations update”. International Journal of Drug Policy</w:t>
      </w:r>
      <w:r w:rsidR="003426A3">
        <w:t>. https://doi.org/10.1016/j.drugpo.2021.103381</w:t>
      </w:r>
    </w:p>
    <w:p w14:paraId="5E53BEFF" w14:textId="5E101A5F" w:rsidR="003319A2" w:rsidRDefault="00F06499" w:rsidP="00F56017">
      <w:pPr>
        <w:pStyle w:val="ListParagraph"/>
        <w:numPr>
          <w:ilvl w:val="0"/>
          <w:numId w:val="5"/>
        </w:numPr>
        <w:spacing w:after="0"/>
      </w:pPr>
      <w:r>
        <w:t>“12, Practical Theorist: Cannabis, The Current State of Affairs”, CADCA, p.7, original citation: Volkow, N.D., Baler, R.D., Compton, W. M., &amp; Weiss</w:t>
      </w:r>
      <w:r w:rsidR="00032BFA">
        <w:t xml:space="preserve">, </w:t>
      </w:r>
      <w:proofErr w:type="gramStart"/>
      <w:r w:rsidR="00032BFA">
        <w:t>S.R.B.(</w:t>
      </w:r>
      <w:proofErr w:type="gramEnd"/>
      <w:r w:rsidR="00032BFA">
        <w:t>2014) “Adverse Health Effects of Marijuana Use”/ The New England Journal of Medicine, 370(23), 2219-2227.</w:t>
      </w:r>
    </w:p>
    <w:p w14:paraId="631CA5CD" w14:textId="77777777" w:rsidR="00453E46" w:rsidRDefault="00453E46" w:rsidP="00453E46">
      <w:pPr>
        <w:pStyle w:val="ListParagraph"/>
        <w:numPr>
          <w:ilvl w:val="0"/>
          <w:numId w:val="5"/>
        </w:numPr>
        <w:spacing w:after="0"/>
      </w:pPr>
      <w:r>
        <w:t xml:space="preserve">National Institute on Drug Abuse. (2019b, December). “Is Marijuana Addictive?” </w:t>
      </w:r>
      <w:hyperlink r:id="rId15" w:history="1">
        <w:r w:rsidRPr="00696658">
          <w:rPr>
            <w:rStyle w:val="Hyperlink"/>
          </w:rPr>
          <w:t>https://www.drugabuse.gov/publications/research-reports/marijuana/marijuana-addictive</w:t>
        </w:r>
      </w:hyperlink>
    </w:p>
    <w:p w14:paraId="613BE9E5" w14:textId="7FCB01F2" w:rsidR="00032BFA" w:rsidRDefault="00225BD9" w:rsidP="00F56017">
      <w:pPr>
        <w:pStyle w:val="ListParagraph"/>
        <w:numPr>
          <w:ilvl w:val="0"/>
          <w:numId w:val="5"/>
        </w:numPr>
        <w:spacing w:after="0"/>
      </w:pPr>
      <w:proofErr w:type="spellStart"/>
      <w:r>
        <w:t>Cerda</w:t>
      </w:r>
      <w:proofErr w:type="gramStart"/>
      <w:r>
        <w:t>`,M</w:t>
      </w:r>
      <w:proofErr w:type="spellEnd"/>
      <w:r>
        <w:t>.</w:t>
      </w:r>
      <w:proofErr w:type="gramEnd"/>
      <w:r>
        <w:t xml:space="preserve">, Mauro, C., </w:t>
      </w:r>
      <w:proofErr w:type="spellStart"/>
      <w:r>
        <w:t>Hamilton,A</w:t>
      </w:r>
      <w:proofErr w:type="spellEnd"/>
      <w:r>
        <w:t>., Levy, N.S., Santaella-Tenorio, J., Hasin, D., Wall, M.M., Keyes, K. M., &amp; Martins, S.S.</w:t>
      </w:r>
      <w:r w:rsidR="00BE68E6">
        <w:t xml:space="preserve"> (2020) </w:t>
      </w:r>
      <w:r w:rsidR="00150D98">
        <w:t>”Association Between Recreationa</w:t>
      </w:r>
      <w:r w:rsidR="00BE68E6">
        <w:t>l</w:t>
      </w:r>
      <w:r w:rsidR="00150D98">
        <w:t xml:space="preserve"> Marijuana Legalization in the United States and Changes in Marijuana Use and Cannabis Use Disorder from 2008 to 2016”. JAMA Psychiatry, 77(2), 165</w:t>
      </w:r>
      <w:r w:rsidR="00BE68E6">
        <w:t xml:space="preserve">. </w:t>
      </w:r>
      <w:hyperlink r:id="rId16" w:history="1">
        <w:r w:rsidR="00BE68E6" w:rsidRPr="00696658">
          <w:rPr>
            <w:rStyle w:val="Hyperlink"/>
          </w:rPr>
          <w:t>https://doi.org/10.1001/jamapsychiatry.2019.3254</w:t>
        </w:r>
      </w:hyperlink>
    </w:p>
    <w:p w14:paraId="66D01C64" w14:textId="58DE175F" w:rsidR="007B6C17" w:rsidRDefault="0099719B" w:rsidP="007B6C17">
      <w:pPr>
        <w:pStyle w:val="ListParagraph"/>
        <w:numPr>
          <w:ilvl w:val="0"/>
          <w:numId w:val="5"/>
        </w:numPr>
        <w:spacing w:after="0"/>
      </w:pPr>
      <w:r>
        <w:t xml:space="preserve">“Lessons Learned from State Marijuana Legalization”, edition 2020-2021, Smart Approaches to Marijuana, p17.  Include citations: Cinnamon Bidwell et al., 2018; </w:t>
      </w:r>
      <w:proofErr w:type="spellStart"/>
      <w:r>
        <w:t>DiForti</w:t>
      </w:r>
      <w:proofErr w:type="spellEnd"/>
      <w:r>
        <w:t xml:space="preserve"> et al., 2019; Fisher et al., 2017; Pierre et al., </w:t>
      </w:r>
      <w:r w:rsidR="00EA27D0">
        <w:t>2016</w:t>
      </w:r>
    </w:p>
    <w:p w14:paraId="5F91508D" w14:textId="3A4B1A04" w:rsidR="000469BD" w:rsidRDefault="007B6C17" w:rsidP="007B6C17">
      <w:pPr>
        <w:pStyle w:val="ListParagraph"/>
        <w:numPr>
          <w:ilvl w:val="0"/>
          <w:numId w:val="5"/>
        </w:numPr>
        <w:spacing w:after="0"/>
      </w:pPr>
      <w:r>
        <w:t>“Evidence-Based Resource Guide Series: Preventing Marijuana Use Among Youth”, p.7, Substance Abuse &amp; Mental Health Services Administration, Publication No. PEP21-06-01-001</w:t>
      </w:r>
      <w:r w:rsidR="000469BD">
        <w:t>, 2021</w:t>
      </w:r>
    </w:p>
    <w:p w14:paraId="1C7128D8" w14:textId="09D9218F" w:rsidR="002558CE" w:rsidRDefault="00C57584" w:rsidP="002558CE">
      <w:pPr>
        <w:pStyle w:val="ListParagraph"/>
        <w:numPr>
          <w:ilvl w:val="0"/>
          <w:numId w:val="5"/>
        </w:numPr>
        <w:spacing w:after="0"/>
      </w:pPr>
      <w:r>
        <w:t>“AN ACT CONCERNING RESPONSIBLE AND EQUITABLE REGULATION OF ADULT-USE CANNABIS”, Office of Legislative Research</w:t>
      </w:r>
      <w:r w:rsidR="002558CE">
        <w:t xml:space="preserve"> Bill Analysis</w:t>
      </w:r>
      <w:r>
        <w:t>, SB 1201 (As Amended by House “A”),</w:t>
      </w:r>
      <w:r w:rsidR="002558CE">
        <w:t xml:space="preserve"> Regulation of Smoking and Cannabis Use 2021SB-01201-R02SS1-BA.DOCX, page 111, June 16,2021.</w:t>
      </w:r>
    </w:p>
    <w:p w14:paraId="2F2CEE2D" w14:textId="77777777" w:rsidR="00176922" w:rsidRDefault="00176922" w:rsidP="00176922">
      <w:pPr>
        <w:pStyle w:val="ListParagraph"/>
        <w:numPr>
          <w:ilvl w:val="0"/>
          <w:numId w:val="5"/>
        </w:numPr>
        <w:spacing w:after="0"/>
      </w:pPr>
      <w:r>
        <w:t xml:space="preserve">National Institute on Drug Abuse (2020, July). “What are marijuana’s effects on lung health” </w:t>
      </w:r>
      <w:hyperlink r:id="rId17" w:history="1">
        <w:r w:rsidRPr="0079239C">
          <w:rPr>
            <w:rStyle w:val="Hyperlink"/>
          </w:rPr>
          <w:t>https://nida.nih.gov/publications/research-reports/marijuana/what-are-marijuanas-effects-lung-health. July 2020</w:t>
        </w:r>
      </w:hyperlink>
      <w:r>
        <w:t>.</w:t>
      </w:r>
    </w:p>
    <w:p w14:paraId="69E91DE6" w14:textId="77777777" w:rsidR="00176922" w:rsidRDefault="00176922" w:rsidP="00176922">
      <w:pPr>
        <w:pStyle w:val="ListParagraph"/>
        <w:spacing w:after="0"/>
      </w:pPr>
    </w:p>
    <w:p w14:paraId="3CD0F28C" w14:textId="77777777" w:rsidR="00BE68E6" w:rsidRDefault="00BE68E6" w:rsidP="00BE68E6">
      <w:pPr>
        <w:pStyle w:val="ListParagraph"/>
        <w:spacing w:after="0"/>
      </w:pPr>
    </w:p>
    <w:sectPr w:rsidR="00BE68E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3C78" w14:textId="77777777" w:rsidR="002C3022" w:rsidRDefault="002C3022" w:rsidP="007E0032">
      <w:pPr>
        <w:spacing w:after="0" w:line="240" w:lineRule="auto"/>
      </w:pPr>
      <w:r>
        <w:separator/>
      </w:r>
    </w:p>
  </w:endnote>
  <w:endnote w:type="continuationSeparator" w:id="0">
    <w:p w14:paraId="73D5B4D1" w14:textId="77777777" w:rsidR="002C3022" w:rsidRDefault="002C3022" w:rsidP="007E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53649"/>
      <w:docPartObj>
        <w:docPartGallery w:val="Page Numbers (Bottom of Page)"/>
        <w:docPartUnique/>
      </w:docPartObj>
    </w:sdtPr>
    <w:sdtEndPr>
      <w:rPr>
        <w:noProof/>
      </w:rPr>
    </w:sdtEndPr>
    <w:sdtContent>
      <w:p w14:paraId="7B063A77" w14:textId="7EE6A79A" w:rsidR="00BA31A9" w:rsidRDefault="00BA31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5CBE0D" w14:textId="77777777" w:rsidR="007E0032" w:rsidRDefault="007E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1E3C" w14:textId="77777777" w:rsidR="002C3022" w:rsidRDefault="002C3022" w:rsidP="007E0032">
      <w:pPr>
        <w:spacing w:after="0" w:line="240" w:lineRule="auto"/>
      </w:pPr>
      <w:r>
        <w:separator/>
      </w:r>
    </w:p>
  </w:footnote>
  <w:footnote w:type="continuationSeparator" w:id="0">
    <w:p w14:paraId="7E62C38F" w14:textId="77777777" w:rsidR="002C3022" w:rsidRDefault="002C3022" w:rsidP="007E0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53ED"/>
    <w:multiLevelType w:val="hybridMultilevel"/>
    <w:tmpl w:val="FCB2D1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CD0331"/>
    <w:multiLevelType w:val="hybridMultilevel"/>
    <w:tmpl w:val="3CEA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04E89"/>
    <w:multiLevelType w:val="hybridMultilevel"/>
    <w:tmpl w:val="FCB2D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876DA"/>
    <w:multiLevelType w:val="hybridMultilevel"/>
    <w:tmpl w:val="911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41145"/>
    <w:multiLevelType w:val="hybridMultilevel"/>
    <w:tmpl w:val="9A58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D3709"/>
    <w:multiLevelType w:val="hybridMultilevel"/>
    <w:tmpl w:val="251A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652599">
    <w:abstractNumId w:val="2"/>
  </w:num>
  <w:num w:numId="2" w16cid:durableId="1101880031">
    <w:abstractNumId w:val="5"/>
  </w:num>
  <w:num w:numId="3" w16cid:durableId="1201624689">
    <w:abstractNumId w:val="4"/>
  </w:num>
  <w:num w:numId="4" w16cid:durableId="228151794">
    <w:abstractNumId w:val="0"/>
  </w:num>
  <w:num w:numId="5" w16cid:durableId="1584294636">
    <w:abstractNumId w:val="1"/>
  </w:num>
  <w:num w:numId="6" w16cid:durableId="55262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36"/>
    <w:rsid w:val="0000261D"/>
    <w:rsid w:val="000117BB"/>
    <w:rsid w:val="00016C3B"/>
    <w:rsid w:val="000241B5"/>
    <w:rsid w:val="00032BFA"/>
    <w:rsid w:val="000469BD"/>
    <w:rsid w:val="000553CA"/>
    <w:rsid w:val="000775D2"/>
    <w:rsid w:val="00086EBF"/>
    <w:rsid w:val="000A4F19"/>
    <w:rsid w:val="000A7DF6"/>
    <w:rsid w:val="000B1EA9"/>
    <w:rsid w:val="000C3CE9"/>
    <w:rsid w:val="000D5D1E"/>
    <w:rsid w:val="000E4C64"/>
    <w:rsid w:val="000F100B"/>
    <w:rsid w:val="00100361"/>
    <w:rsid w:val="00112579"/>
    <w:rsid w:val="00130B32"/>
    <w:rsid w:val="00136759"/>
    <w:rsid w:val="00143EBA"/>
    <w:rsid w:val="00150D98"/>
    <w:rsid w:val="00152502"/>
    <w:rsid w:val="00176922"/>
    <w:rsid w:val="001B5972"/>
    <w:rsid w:val="001C3113"/>
    <w:rsid w:val="001C581A"/>
    <w:rsid w:val="00215BB2"/>
    <w:rsid w:val="002202B2"/>
    <w:rsid w:val="00221DDC"/>
    <w:rsid w:val="00225B5E"/>
    <w:rsid w:val="00225BD9"/>
    <w:rsid w:val="00226BD7"/>
    <w:rsid w:val="002370DF"/>
    <w:rsid w:val="00242D16"/>
    <w:rsid w:val="002472E9"/>
    <w:rsid w:val="002558CE"/>
    <w:rsid w:val="00260AA6"/>
    <w:rsid w:val="00266F5F"/>
    <w:rsid w:val="002809CB"/>
    <w:rsid w:val="002942E6"/>
    <w:rsid w:val="002B5E9C"/>
    <w:rsid w:val="002C04B8"/>
    <w:rsid w:val="002C3022"/>
    <w:rsid w:val="002C4DB1"/>
    <w:rsid w:val="002D1607"/>
    <w:rsid w:val="002E1E34"/>
    <w:rsid w:val="002F091A"/>
    <w:rsid w:val="00302E36"/>
    <w:rsid w:val="0030725A"/>
    <w:rsid w:val="00310C18"/>
    <w:rsid w:val="00313ABE"/>
    <w:rsid w:val="003149AE"/>
    <w:rsid w:val="003215A2"/>
    <w:rsid w:val="00322BE6"/>
    <w:rsid w:val="003319A2"/>
    <w:rsid w:val="003332CB"/>
    <w:rsid w:val="00340F73"/>
    <w:rsid w:val="003426A3"/>
    <w:rsid w:val="0034273F"/>
    <w:rsid w:val="003446B8"/>
    <w:rsid w:val="0034726E"/>
    <w:rsid w:val="00352A7F"/>
    <w:rsid w:val="00353729"/>
    <w:rsid w:val="0037125A"/>
    <w:rsid w:val="00375F1F"/>
    <w:rsid w:val="00381AAB"/>
    <w:rsid w:val="003932AA"/>
    <w:rsid w:val="003C2EFA"/>
    <w:rsid w:val="003F20B0"/>
    <w:rsid w:val="003F619C"/>
    <w:rsid w:val="00401137"/>
    <w:rsid w:val="004074E9"/>
    <w:rsid w:val="00412E25"/>
    <w:rsid w:val="00431A59"/>
    <w:rsid w:val="00453873"/>
    <w:rsid w:val="00453E46"/>
    <w:rsid w:val="00456CEC"/>
    <w:rsid w:val="0046123F"/>
    <w:rsid w:val="004818D6"/>
    <w:rsid w:val="00486D37"/>
    <w:rsid w:val="00494B77"/>
    <w:rsid w:val="00495EFB"/>
    <w:rsid w:val="004A0CD9"/>
    <w:rsid w:val="004A4ED3"/>
    <w:rsid w:val="004B2F5D"/>
    <w:rsid w:val="004B6834"/>
    <w:rsid w:val="004C79AF"/>
    <w:rsid w:val="004D75E4"/>
    <w:rsid w:val="004E07EF"/>
    <w:rsid w:val="004E106E"/>
    <w:rsid w:val="004E6CD8"/>
    <w:rsid w:val="004F06AC"/>
    <w:rsid w:val="004F5F85"/>
    <w:rsid w:val="0050512C"/>
    <w:rsid w:val="005053ED"/>
    <w:rsid w:val="00511AE0"/>
    <w:rsid w:val="005140AF"/>
    <w:rsid w:val="0052268A"/>
    <w:rsid w:val="00530219"/>
    <w:rsid w:val="00531A36"/>
    <w:rsid w:val="00545575"/>
    <w:rsid w:val="0055782F"/>
    <w:rsid w:val="00566F34"/>
    <w:rsid w:val="00567B5E"/>
    <w:rsid w:val="00582A2C"/>
    <w:rsid w:val="005874A0"/>
    <w:rsid w:val="00592873"/>
    <w:rsid w:val="00594C4F"/>
    <w:rsid w:val="00596FDA"/>
    <w:rsid w:val="005A5998"/>
    <w:rsid w:val="005C4C0F"/>
    <w:rsid w:val="005C6238"/>
    <w:rsid w:val="005D5559"/>
    <w:rsid w:val="005E0D9C"/>
    <w:rsid w:val="005E5F10"/>
    <w:rsid w:val="0060057D"/>
    <w:rsid w:val="006013EF"/>
    <w:rsid w:val="006358D8"/>
    <w:rsid w:val="006612E8"/>
    <w:rsid w:val="006659D4"/>
    <w:rsid w:val="00666368"/>
    <w:rsid w:val="006832B6"/>
    <w:rsid w:val="006942B5"/>
    <w:rsid w:val="00695078"/>
    <w:rsid w:val="006963A8"/>
    <w:rsid w:val="00697355"/>
    <w:rsid w:val="006A113E"/>
    <w:rsid w:val="006A67D3"/>
    <w:rsid w:val="006C51EE"/>
    <w:rsid w:val="006C57A1"/>
    <w:rsid w:val="006D573C"/>
    <w:rsid w:val="006E7099"/>
    <w:rsid w:val="006F5672"/>
    <w:rsid w:val="006F734D"/>
    <w:rsid w:val="007047CA"/>
    <w:rsid w:val="007058D5"/>
    <w:rsid w:val="00706573"/>
    <w:rsid w:val="00707960"/>
    <w:rsid w:val="007207CF"/>
    <w:rsid w:val="00721395"/>
    <w:rsid w:val="0073230D"/>
    <w:rsid w:val="00740A62"/>
    <w:rsid w:val="00756284"/>
    <w:rsid w:val="00756907"/>
    <w:rsid w:val="00783B8A"/>
    <w:rsid w:val="00791F7F"/>
    <w:rsid w:val="00797582"/>
    <w:rsid w:val="007B6C17"/>
    <w:rsid w:val="007D3A97"/>
    <w:rsid w:val="007D63F9"/>
    <w:rsid w:val="007E0032"/>
    <w:rsid w:val="007E522E"/>
    <w:rsid w:val="007E7FAD"/>
    <w:rsid w:val="007F453B"/>
    <w:rsid w:val="007F5559"/>
    <w:rsid w:val="00822303"/>
    <w:rsid w:val="00845AED"/>
    <w:rsid w:val="00845B1A"/>
    <w:rsid w:val="00863E85"/>
    <w:rsid w:val="0086581F"/>
    <w:rsid w:val="00872279"/>
    <w:rsid w:val="0087257F"/>
    <w:rsid w:val="00893AB5"/>
    <w:rsid w:val="00895C47"/>
    <w:rsid w:val="008B1BE5"/>
    <w:rsid w:val="008C1954"/>
    <w:rsid w:val="008C5513"/>
    <w:rsid w:val="008C5B2A"/>
    <w:rsid w:val="008D3E74"/>
    <w:rsid w:val="008D52D0"/>
    <w:rsid w:val="008D6382"/>
    <w:rsid w:val="008D6732"/>
    <w:rsid w:val="008E5A3C"/>
    <w:rsid w:val="008F177C"/>
    <w:rsid w:val="00901DB6"/>
    <w:rsid w:val="00905635"/>
    <w:rsid w:val="00912691"/>
    <w:rsid w:val="00913D0D"/>
    <w:rsid w:val="00930D99"/>
    <w:rsid w:val="0093652A"/>
    <w:rsid w:val="00970942"/>
    <w:rsid w:val="00991FDE"/>
    <w:rsid w:val="0099719B"/>
    <w:rsid w:val="009A56CA"/>
    <w:rsid w:val="009B615B"/>
    <w:rsid w:val="009B6400"/>
    <w:rsid w:val="009C27CB"/>
    <w:rsid w:val="009C6823"/>
    <w:rsid w:val="009C6A15"/>
    <w:rsid w:val="009D291B"/>
    <w:rsid w:val="009F15D7"/>
    <w:rsid w:val="009F7649"/>
    <w:rsid w:val="00A02AEE"/>
    <w:rsid w:val="00A33FEA"/>
    <w:rsid w:val="00A37163"/>
    <w:rsid w:val="00A41865"/>
    <w:rsid w:val="00A523FF"/>
    <w:rsid w:val="00A55CC8"/>
    <w:rsid w:val="00A573F8"/>
    <w:rsid w:val="00A70454"/>
    <w:rsid w:val="00A70CBF"/>
    <w:rsid w:val="00AA2AF5"/>
    <w:rsid w:val="00AA3321"/>
    <w:rsid w:val="00AC51CB"/>
    <w:rsid w:val="00AD3A8D"/>
    <w:rsid w:val="00AD5C2C"/>
    <w:rsid w:val="00AE2734"/>
    <w:rsid w:val="00AE4C00"/>
    <w:rsid w:val="00AF05FE"/>
    <w:rsid w:val="00B63B44"/>
    <w:rsid w:val="00B67FA3"/>
    <w:rsid w:val="00B7273C"/>
    <w:rsid w:val="00B73F20"/>
    <w:rsid w:val="00B77858"/>
    <w:rsid w:val="00B9126E"/>
    <w:rsid w:val="00B917A1"/>
    <w:rsid w:val="00B9561F"/>
    <w:rsid w:val="00BA31A9"/>
    <w:rsid w:val="00BA6832"/>
    <w:rsid w:val="00BC656F"/>
    <w:rsid w:val="00BD2643"/>
    <w:rsid w:val="00BD3833"/>
    <w:rsid w:val="00BE68E6"/>
    <w:rsid w:val="00BE6AFD"/>
    <w:rsid w:val="00BF17B3"/>
    <w:rsid w:val="00C04C00"/>
    <w:rsid w:val="00C05075"/>
    <w:rsid w:val="00C0531B"/>
    <w:rsid w:val="00C05870"/>
    <w:rsid w:val="00C128E4"/>
    <w:rsid w:val="00C148FF"/>
    <w:rsid w:val="00C209F3"/>
    <w:rsid w:val="00C2495B"/>
    <w:rsid w:val="00C2720C"/>
    <w:rsid w:val="00C30497"/>
    <w:rsid w:val="00C407FD"/>
    <w:rsid w:val="00C52459"/>
    <w:rsid w:val="00C57584"/>
    <w:rsid w:val="00C710A5"/>
    <w:rsid w:val="00C80E16"/>
    <w:rsid w:val="00C80F99"/>
    <w:rsid w:val="00C84736"/>
    <w:rsid w:val="00C84BC8"/>
    <w:rsid w:val="00CA029F"/>
    <w:rsid w:val="00CB7B03"/>
    <w:rsid w:val="00CC0DDE"/>
    <w:rsid w:val="00CC4F6D"/>
    <w:rsid w:val="00CC6734"/>
    <w:rsid w:val="00CC67FF"/>
    <w:rsid w:val="00CC745F"/>
    <w:rsid w:val="00CD0250"/>
    <w:rsid w:val="00CF7165"/>
    <w:rsid w:val="00D14B04"/>
    <w:rsid w:val="00D173DD"/>
    <w:rsid w:val="00D32340"/>
    <w:rsid w:val="00D377B9"/>
    <w:rsid w:val="00D416B3"/>
    <w:rsid w:val="00D55672"/>
    <w:rsid w:val="00D60D14"/>
    <w:rsid w:val="00D71A3F"/>
    <w:rsid w:val="00D86EB7"/>
    <w:rsid w:val="00D97A00"/>
    <w:rsid w:val="00DA271B"/>
    <w:rsid w:val="00DA7EEF"/>
    <w:rsid w:val="00DB09BF"/>
    <w:rsid w:val="00DB26AB"/>
    <w:rsid w:val="00DB33B0"/>
    <w:rsid w:val="00DB45DA"/>
    <w:rsid w:val="00DF554A"/>
    <w:rsid w:val="00DF5941"/>
    <w:rsid w:val="00E03983"/>
    <w:rsid w:val="00E31DB3"/>
    <w:rsid w:val="00E33A7C"/>
    <w:rsid w:val="00E45DE5"/>
    <w:rsid w:val="00E659A2"/>
    <w:rsid w:val="00E731F5"/>
    <w:rsid w:val="00E901FB"/>
    <w:rsid w:val="00E92527"/>
    <w:rsid w:val="00E95B8B"/>
    <w:rsid w:val="00E95F1E"/>
    <w:rsid w:val="00EA27D0"/>
    <w:rsid w:val="00EA70EB"/>
    <w:rsid w:val="00EC1646"/>
    <w:rsid w:val="00EC4143"/>
    <w:rsid w:val="00ED03C7"/>
    <w:rsid w:val="00ED0BA3"/>
    <w:rsid w:val="00ED2FB0"/>
    <w:rsid w:val="00EE7928"/>
    <w:rsid w:val="00EF49D3"/>
    <w:rsid w:val="00EF4D34"/>
    <w:rsid w:val="00F040D8"/>
    <w:rsid w:val="00F06499"/>
    <w:rsid w:val="00F13920"/>
    <w:rsid w:val="00F33B35"/>
    <w:rsid w:val="00F36C8F"/>
    <w:rsid w:val="00F41A81"/>
    <w:rsid w:val="00F462CC"/>
    <w:rsid w:val="00F4640B"/>
    <w:rsid w:val="00F531ED"/>
    <w:rsid w:val="00F56017"/>
    <w:rsid w:val="00F565E6"/>
    <w:rsid w:val="00F70842"/>
    <w:rsid w:val="00F76767"/>
    <w:rsid w:val="00F81249"/>
    <w:rsid w:val="00F843D3"/>
    <w:rsid w:val="00F9366D"/>
    <w:rsid w:val="00F9416C"/>
    <w:rsid w:val="00FA0E7A"/>
    <w:rsid w:val="00FB31DF"/>
    <w:rsid w:val="00FB538A"/>
    <w:rsid w:val="00FD7875"/>
    <w:rsid w:val="00FE4442"/>
    <w:rsid w:val="00FE546E"/>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AAD6"/>
  <w15:chartTrackingRefBased/>
  <w15:docId w15:val="{7EE31931-031D-43BD-897D-3A69EDE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7BB"/>
    <w:pPr>
      <w:ind w:left="720"/>
      <w:contextualSpacing/>
    </w:pPr>
  </w:style>
  <w:style w:type="table" w:styleId="TableGrid">
    <w:name w:val="Table Grid"/>
    <w:basedOn w:val="TableNormal"/>
    <w:uiPriority w:val="39"/>
    <w:rsid w:val="00F4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DDE"/>
    <w:rPr>
      <w:color w:val="0563C1" w:themeColor="hyperlink"/>
      <w:u w:val="single"/>
    </w:rPr>
  </w:style>
  <w:style w:type="character" w:styleId="UnresolvedMention">
    <w:name w:val="Unresolved Mention"/>
    <w:basedOn w:val="DefaultParagraphFont"/>
    <w:uiPriority w:val="99"/>
    <w:semiHidden/>
    <w:unhideWhenUsed/>
    <w:rsid w:val="00CC0DDE"/>
    <w:rPr>
      <w:color w:val="605E5C"/>
      <w:shd w:val="clear" w:color="auto" w:fill="E1DFDD"/>
    </w:rPr>
  </w:style>
  <w:style w:type="paragraph" w:styleId="Header">
    <w:name w:val="header"/>
    <w:basedOn w:val="Normal"/>
    <w:link w:val="HeaderChar"/>
    <w:uiPriority w:val="99"/>
    <w:unhideWhenUsed/>
    <w:rsid w:val="007E0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032"/>
  </w:style>
  <w:style w:type="paragraph" w:styleId="Footer">
    <w:name w:val="footer"/>
    <w:basedOn w:val="Normal"/>
    <w:link w:val="FooterChar"/>
    <w:uiPriority w:val="99"/>
    <w:unhideWhenUsed/>
    <w:rsid w:val="007E0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ursing.wsu.edu/2017/04/14/132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files.samhsa.gov/study-dataset/national-survey-drug-use-and-health-2018-nsduh-2018-ds0001-nid18758" TargetMode="External"/><Relationship Id="rId17" Type="http://schemas.openxmlformats.org/officeDocument/2006/relationships/hyperlink" Target="https://nida.nih.gov/publications/research-reports/marijuana/what-are-marijuanas-effects-lung-health.%20July%202020" TargetMode="External"/><Relationship Id="rId2" Type="http://schemas.openxmlformats.org/officeDocument/2006/relationships/numbering" Target="numbering.xml"/><Relationship Id="rId16" Type="http://schemas.openxmlformats.org/officeDocument/2006/relationships/hyperlink" Target="https://doi.org/10.1001/jamapsychiatry.2019.32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www.drugabuse.gov/publications/research-reports/marijuana/marijuana-addictiv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ciencedaily.com/releases/2020/10/201008142132.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Past 30-Day Substance Use</a:t>
            </a:r>
          </a:p>
          <a:p>
            <a:pPr>
              <a:defRPr/>
            </a:pPr>
            <a:r>
              <a:rPr lang="en-US"/>
              <a:t>Fairfield 7th-12th Grade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Alcohol</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Sheet1!$A$2:$A$7</c:f>
              <c:numCache>
                <c:formatCode>General</c:formatCode>
                <c:ptCount val="6"/>
                <c:pt idx="0">
                  <c:v>2008</c:v>
                </c:pt>
                <c:pt idx="1">
                  <c:v>2012</c:v>
                </c:pt>
                <c:pt idx="2">
                  <c:v>2014</c:v>
                </c:pt>
                <c:pt idx="3">
                  <c:v>2016</c:v>
                </c:pt>
                <c:pt idx="4">
                  <c:v>2019</c:v>
                </c:pt>
                <c:pt idx="5">
                  <c:v>2021</c:v>
                </c:pt>
              </c:numCache>
            </c:numRef>
          </c:cat>
          <c:val>
            <c:numRef>
              <c:f>Sheet1!$B$2:$B$7</c:f>
              <c:numCache>
                <c:formatCode>0%</c:formatCode>
                <c:ptCount val="6"/>
                <c:pt idx="0">
                  <c:v>0.38</c:v>
                </c:pt>
                <c:pt idx="1">
                  <c:v>0.27</c:v>
                </c:pt>
                <c:pt idx="2">
                  <c:v>0.25</c:v>
                </c:pt>
                <c:pt idx="3">
                  <c:v>0.25</c:v>
                </c:pt>
                <c:pt idx="4">
                  <c:v>0.21</c:v>
                </c:pt>
                <c:pt idx="5">
                  <c:v>0.15</c:v>
                </c:pt>
              </c:numCache>
            </c:numRef>
          </c:val>
          <c:smooth val="0"/>
          <c:extLst>
            <c:ext xmlns:c16="http://schemas.microsoft.com/office/drawing/2014/chart" uri="{C3380CC4-5D6E-409C-BE32-E72D297353CC}">
              <c16:uniqueId val="{00000000-ACB5-4247-A63C-B0E3A08156F5}"/>
            </c:ext>
          </c:extLst>
        </c:ser>
        <c:ser>
          <c:idx val="1"/>
          <c:order val="1"/>
          <c:tx>
            <c:strRef>
              <c:f>Sheet1!$C$1</c:f>
              <c:strCache>
                <c:ptCount val="1"/>
                <c:pt idx="0">
                  <c:v>Tobacco</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Sheet1!$A$2:$A$7</c:f>
              <c:numCache>
                <c:formatCode>General</c:formatCode>
                <c:ptCount val="6"/>
                <c:pt idx="0">
                  <c:v>2008</c:v>
                </c:pt>
                <c:pt idx="1">
                  <c:v>2012</c:v>
                </c:pt>
                <c:pt idx="2">
                  <c:v>2014</c:v>
                </c:pt>
                <c:pt idx="3">
                  <c:v>2016</c:v>
                </c:pt>
                <c:pt idx="4">
                  <c:v>2019</c:v>
                </c:pt>
                <c:pt idx="5">
                  <c:v>2021</c:v>
                </c:pt>
              </c:numCache>
            </c:numRef>
          </c:cat>
          <c:val>
            <c:numRef>
              <c:f>Sheet1!$C$2:$C$7</c:f>
              <c:numCache>
                <c:formatCode>0%</c:formatCode>
                <c:ptCount val="6"/>
                <c:pt idx="0">
                  <c:v>0.13</c:v>
                </c:pt>
                <c:pt idx="1">
                  <c:v>0.05</c:v>
                </c:pt>
                <c:pt idx="2">
                  <c:v>0.05</c:v>
                </c:pt>
                <c:pt idx="3">
                  <c:v>0.03</c:v>
                </c:pt>
                <c:pt idx="4">
                  <c:v>0.01</c:v>
                </c:pt>
                <c:pt idx="5">
                  <c:v>0.01</c:v>
                </c:pt>
              </c:numCache>
            </c:numRef>
          </c:val>
          <c:smooth val="0"/>
          <c:extLst>
            <c:ext xmlns:c16="http://schemas.microsoft.com/office/drawing/2014/chart" uri="{C3380CC4-5D6E-409C-BE32-E72D297353CC}">
              <c16:uniqueId val="{00000001-ACB5-4247-A63C-B0E3A08156F5}"/>
            </c:ext>
          </c:extLst>
        </c:ser>
        <c:ser>
          <c:idx val="2"/>
          <c:order val="2"/>
          <c:tx>
            <c:strRef>
              <c:f>Sheet1!$D$1</c:f>
              <c:strCache>
                <c:ptCount val="1"/>
                <c:pt idx="0">
                  <c:v>Marijuana</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Sheet1!$A$2:$A$7</c:f>
              <c:numCache>
                <c:formatCode>General</c:formatCode>
                <c:ptCount val="6"/>
                <c:pt idx="0">
                  <c:v>2008</c:v>
                </c:pt>
                <c:pt idx="1">
                  <c:v>2012</c:v>
                </c:pt>
                <c:pt idx="2">
                  <c:v>2014</c:v>
                </c:pt>
                <c:pt idx="3">
                  <c:v>2016</c:v>
                </c:pt>
                <c:pt idx="4">
                  <c:v>2019</c:v>
                </c:pt>
                <c:pt idx="5">
                  <c:v>2021</c:v>
                </c:pt>
              </c:numCache>
            </c:numRef>
          </c:cat>
          <c:val>
            <c:numRef>
              <c:f>Sheet1!$D$2:$D$7</c:f>
              <c:numCache>
                <c:formatCode>0%</c:formatCode>
                <c:ptCount val="6"/>
                <c:pt idx="0">
                  <c:v>0.18</c:v>
                </c:pt>
                <c:pt idx="1">
                  <c:v>0.15</c:v>
                </c:pt>
                <c:pt idx="2">
                  <c:v>0.16</c:v>
                </c:pt>
                <c:pt idx="3">
                  <c:v>0.13</c:v>
                </c:pt>
                <c:pt idx="4">
                  <c:v>0.11</c:v>
                </c:pt>
                <c:pt idx="5">
                  <c:v>0.05</c:v>
                </c:pt>
              </c:numCache>
            </c:numRef>
          </c:val>
          <c:smooth val="0"/>
          <c:extLst>
            <c:ext xmlns:c16="http://schemas.microsoft.com/office/drawing/2014/chart" uri="{C3380CC4-5D6E-409C-BE32-E72D297353CC}">
              <c16:uniqueId val="{00000002-ACB5-4247-A63C-B0E3A08156F5}"/>
            </c:ext>
          </c:extLst>
        </c:ser>
        <c:dLbls>
          <c:dLblPos val="ctr"/>
          <c:showLegendKey val="0"/>
          <c:showVal val="1"/>
          <c:showCatName val="0"/>
          <c:showSerName val="0"/>
          <c:showPercent val="0"/>
          <c:showBubbleSize val="0"/>
        </c:dLbls>
        <c:marker val="1"/>
        <c:smooth val="0"/>
        <c:axId val="473604768"/>
        <c:axId val="473605488"/>
      </c:lineChart>
      <c:catAx>
        <c:axId val="4736047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en-US"/>
          </a:p>
        </c:txPr>
        <c:crossAx val="473605488"/>
        <c:crosses val="autoZero"/>
        <c:auto val="1"/>
        <c:lblAlgn val="ctr"/>
        <c:lblOffset val="100"/>
        <c:noMultiLvlLbl val="0"/>
      </c:catAx>
      <c:valAx>
        <c:axId val="473605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736047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3BE08-D1AD-43B4-AA61-7A206BD6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Hazlett</dc:creator>
  <cp:keywords/>
  <dc:description/>
  <cp:lastModifiedBy>Cathy Hazlett</cp:lastModifiedBy>
  <cp:revision>2</cp:revision>
  <cp:lastPrinted>2022-01-05T15:33:00Z</cp:lastPrinted>
  <dcterms:created xsi:type="dcterms:W3CDTF">2023-10-24T20:04:00Z</dcterms:created>
  <dcterms:modified xsi:type="dcterms:W3CDTF">2023-10-24T20:04:00Z</dcterms:modified>
</cp:coreProperties>
</file>